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30"/>
        <w:gridCol w:w="4431"/>
      </w:tblGrid>
      <w:tr w:rsidR="001B762D" w:rsidRPr="00890B1B" w14:paraId="2CB1B6F5" w14:textId="77777777" w:rsidTr="002E6CF4">
        <w:tc>
          <w:tcPr>
            <w:tcW w:w="4430" w:type="dxa"/>
          </w:tcPr>
          <w:p w14:paraId="7C1A176B" w14:textId="52F6B5BA" w:rsidR="001B762D" w:rsidRDefault="00A101A3">
            <w:pPr>
              <w:pStyle w:val="Frsttsbladstext"/>
              <w:jc w:val="center"/>
              <w:rPr>
                <w:caps w:val="0"/>
                <w:sz w:val="44"/>
                <w:szCs w:val="44"/>
              </w:rPr>
            </w:pPr>
            <w:bookmarkStart w:id="0" w:name="_GoBack"/>
            <w:bookmarkEnd w:id="0"/>
            <w:r>
              <w:rPr>
                <w:caps w:val="0"/>
                <w:sz w:val="44"/>
                <w:szCs w:val="44"/>
              </w:rPr>
              <w:t xml:space="preserve"> </w:t>
            </w:r>
          </w:p>
          <w:p w14:paraId="10015C5C" w14:textId="136BB0E0" w:rsidR="00F3061D" w:rsidRPr="009E64A2" w:rsidRDefault="00F3061D" w:rsidP="00F3061D">
            <w:pPr>
              <w:pStyle w:val="Frsttsbladstext"/>
              <w:jc w:val="center"/>
              <w:rPr>
                <w:caps w:val="0"/>
                <w:sz w:val="36"/>
                <w:szCs w:val="36"/>
              </w:rPr>
            </w:pPr>
            <w:r w:rsidRPr="009E64A2">
              <w:rPr>
                <w:caps w:val="0"/>
                <w:sz w:val="36"/>
                <w:szCs w:val="36"/>
              </w:rPr>
              <w:t>Styrelsernas</w:t>
            </w:r>
          </w:p>
          <w:p w14:paraId="1F40EBE6" w14:textId="77777777" w:rsidR="00F3061D" w:rsidRPr="009E64A2" w:rsidRDefault="00F3061D" w:rsidP="00F3061D">
            <w:pPr>
              <w:pStyle w:val="Frsttsbladstext"/>
              <w:jc w:val="center"/>
              <w:rPr>
                <w:rFonts w:asciiTheme="minorHAnsi" w:hAnsiTheme="minorHAnsi" w:cstheme="minorHAnsi"/>
                <w:caps w:val="0"/>
                <w:sz w:val="22"/>
                <w:szCs w:val="22"/>
              </w:rPr>
            </w:pPr>
          </w:p>
          <w:p w14:paraId="18A68C0E" w14:textId="77777777" w:rsidR="00F3061D" w:rsidRPr="009E64A2" w:rsidRDefault="00F3061D" w:rsidP="00F3061D">
            <w:pPr>
              <w:pStyle w:val="Frsttssidagemener"/>
              <w:rPr>
                <w:rFonts w:asciiTheme="minorHAnsi" w:hAnsiTheme="minorHAnsi" w:cstheme="minorHAnsi"/>
                <w:szCs w:val="22"/>
              </w:rPr>
            </w:pPr>
            <w:r w:rsidRPr="009E64A2">
              <w:rPr>
                <w:rFonts w:asciiTheme="minorHAnsi" w:hAnsiTheme="minorHAnsi" w:cstheme="minorHAnsi"/>
                <w:szCs w:val="22"/>
              </w:rPr>
              <w:t>i</w:t>
            </w:r>
          </w:p>
          <w:p w14:paraId="4857C316" w14:textId="77777777" w:rsidR="00F3061D" w:rsidRPr="009E64A2" w:rsidRDefault="00F3061D" w:rsidP="00F3061D">
            <w:pPr>
              <w:pStyle w:val="Frsttssidagemener"/>
              <w:rPr>
                <w:rFonts w:asciiTheme="minorHAnsi" w:hAnsiTheme="minorHAnsi" w:cstheme="minorHAnsi"/>
                <w:szCs w:val="22"/>
              </w:rPr>
            </w:pPr>
          </w:p>
          <w:p w14:paraId="69E40033" w14:textId="5AABC473" w:rsidR="00F3061D" w:rsidRPr="009E64A2" w:rsidRDefault="00ED15BB" w:rsidP="00F3061D">
            <w:pPr>
              <w:pStyle w:val="RubForstasida"/>
              <w:rPr>
                <w:rFonts w:asciiTheme="majorHAnsi" w:hAnsiTheme="majorHAnsi" w:cstheme="majorHAnsi"/>
                <w:sz w:val="22"/>
                <w:szCs w:val="22"/>
              </w:rPr>
            </w:pPr>
            <w:r>
              <w:rPr>
                <w:rFonts w:asciiTheme="majorHAnsi" w:hAnsiTheme="majorHAnsi" w:cstheme="majorHAnsi"/>
                <w:sz w:val="22"/>
                <w:szCs w:val="22"/>
              </w:rPr>
              <w:t xml:space="preserve">Nordea </w:t>
            </w:r>
            <w:r w:rsidR="008B680E">
              <w:rPr>
                <w:rFonts w:asciiTheme="majorHAnsi" w:hAnsiTheme="majorHAnsi" w:cstheme="majorHAnsi"/>
                <w:sz w:val="22"/>
                <w:szCs w:val="22"/>
              </w:rPr>
              <w:t>Bank AB (publ)</w:t>
            </w:r>
          </w:p>
          <w:p w14:paraId="6AE8A33B" w14:textId="77777777" w:rsidR="00F3061D" w:rsidRPr="009E64A2" w:rsidRDefault="00F3061D" w:rsidP="00F3061D">
            <w:pPr>
              <w:pStyle w:val="Frsttssidagemener"/>
              <w:rPr>
                <w:rFonts w:asciiTheme="minorHAnsi" w:hAnsiTheme="minorHAnsi" w:cstheme="minorHAnsi"/>
                <w:szCs w:val="22"/>
              </w:rPr>
            </w:pPr>
          </w:p>
          <w:p w14:paraId="79CAEE30" w14:textId="77777777" w:rsidR="00F3061D" w:rsidRPr="009E64A2" w:rsidRDefault="00F3061D" w:rsidP="00F3061D">
            <w:pPr>
              <w:pStyle w:val="Frsttssidagemener"/>
              <w:rPr>
                <w:rFonts w:asciiTheme="minorHAnsi" w:hAnsiTheme="minorHAnsi" w:cstheme="minorHAnsi"/>
                <w:szCs w:val="22"/>
              </w:rPr>
            </w:pPr>
            <w:r w:rsidRPr="009E64A2">
              <w:rPr>
                <w:rFonts w:asciiTheme="minorHAnsi" w:hAnsiTheme="minorHAnsi" w:cstheme="minorHAnsi"/>
                <w:szCs w:val="22"/>
              </w:rPr>
              <w:t>och</w:t>
            </w:r>
          </w:p>
          <w:p w14:paraId="7920AD08" w14:textId="77777777" w:rsidR="00F3061D" w:rsidRPr="009E64A2" w:rsidRDefault="00F3061D" w:rsidP="00F3061D">
            <w:pPr>
              <w:pStyle w:val="Frsttssidagemener"/>
              <w:rPr>
                <w:rFonts w:asciiTheme="minorHAnsi" w:hAnsiTheme="minorHAnsi" w:cstheme="minorHAnsi"/>
                <w:szCs w:val="22"/>
              </w:rPr>
            </w:pPr>
          </w:p>
          <w:p w14:paraId="759B0703" w14:textId="67C8BD7A" w:rsidR="00F3061D" w:rsidRPr="009E64A2" w:rsidRDefault="00D12E2D" w:rsidP="00F3061D">
            <w:pPr>
              <w:pStyle w:val="RubForstasida"/>
              <w:rPr>
                <w:rFonts w:asciiTheme="majorHAnsi" w:hAnsiTheme="majorHAnsi" w:cstheme="majorHAnsi"/>
                <w:sz w:val="22"/>
                <w:szCs w:val="22"/>
              </w:rPr>
            </w:pPr>
            <w:r>
              <w:rPr>
                <w:rFonts w:asciiTheme="majorHAnsi" w:hAnsiTheme="majorHAnsi" w:cstheme="majorHAnsi"/>
                <w:sz w:val="22"/>
                <w:szCs w:val="22"/>
              </w:rPr>
              <w:t>Nordea</w:t>
            </w:r>
            <w:r w:rsidR="00787583">
              <w:rPr>
                <w:rFonts w:asciiTheme="majorHAnsi" w:hAnsiTheme="majorHAnsi" w:cstheme="majorHAnsi"/>
                <w:sz w:val="22"/>
                <w:szCs w:val="22"/>
              </w:rPr>
              <w:t xml:space="preserve"> Holding</w:t>
            </w:r>
            <w:r w:rsidR="0089224C">
              <w:rPr>
                <w:rFonts w:asciiTheme="majorHAnsi" w:hAnsiTheme="majorHAnsi" w:cstheme="majorHAnsi"/>
                <w:sz w:val="22"/>
                <w:szCs w:val="22"/>
              </w:rPr>
              <w:t xml:space="preserve"> </w:t>
            </w:r>
            <w:r w:rsidR="00366413">
              <w:rPr>
                <w:rFonts w:asciiTheme="majorHAnsi" w:hAnsiTheme="majorHAnsi" w:cstheme="majorHAnsi"/>
                <w:sz w:val="22"/>
                <w:szCs w:val="22"/>
              </w:rPr>
              <w:t>Abp</w:t>
            </w:r>
          </w:p>
          <w:p w14:paraId="5768E8B6" w14:textId="77777777" w:rsidR="00F3061D" w:rsidRPr="009E64A2" w:rsidRDefault="00F3061D" w:rsidP="00F3061D">
            <w:pPr>
              <w:pStyle w:val="RubForstasida"/>
              <w:rPr>
                <w:rFonts w:asciiTheme="minorHAnsi" w:hAnsiTheme="minorHAnsi" w:cstheme="minorHAnsi"/>
                <w:b w:val="0"/>
                <w:sz w:val="22"/>
                <w:szCs w:val="22"/>
              </w:rPr>
            </w:pPr>
          </w:p>
          <w:p w14:paraId="6EB47A3C" w14:textId="77777777" w:rsidR="001B762D" w:rsidRDefault="00F3061D" w:rsidP="00F3061D">
            <w:pPr>
              <w:pStyle w:val="RubForstasida"/>
            </w:pPr>
            <w:r w:rsidRPr="009E64A2">
              <w:rPr>
                <w:sz w:val="36"/>
                <w:szCs w:val="36"/>
              </w:rPr>
              <w:t>redogörelse för fusionens lämplighet</w:t>
            </w:r>
          </w:p>
        </w:tc>
        <w:tc>
          <w:tcPr>
            <w:tcW w:w="4430" w:type="dxa"/>
          </w:tcPr>
          <w:p w14:paraId="6621FAB5" w14:textId="77777777" w:rsidR="001B762D" w:rsidRPr="00995E56" w:rsidRDefault="001B762D">
            <w:pPr>
              <w:pStyle w:val="Frsttsbladstext"/>
              <w:jc w:val="center"/>
              <w:rPr>
                <w:caps w:val="0"/>
                <w:sz w:val="44"/>
                <w:szCs w:val="44"/>
              </w:rPr>
            </w:pPr>
          </w:p>
          <w:p w14:paraId="409BDC9A" w14:textId="77777777" w:rsidR="00F3061D" w:rsidRPr="009E64A2" w:rsidRDefault="00F3061D" w:rsidP="00F3061D">
            <w:pPr>
              <w:pStyle w:val="Frsttsbladstext"/>
              <w:jc w:val="center"/>
              <w:rPr>
                <w:caps w:val="0"/>
                <w:sz w:val="36"/>
                <w:szCs w:val="36"/>
                <w:lang w:val="en-GB"/>
              </w:rPr>
            </w:pPr>
            <w:r w:rsidRPr="009E64A2">
              <w:rPr>
                <w:caps w:val="0"/>
                <w:sz w:val="36"/>
                <w:szCs w:val="36"/>
                <w:lang w:val="en-GB"/>
              </w:rPr>
              <w:t>Boards of directors’</w:t>
            </w:r>
          </w:p>
          <w:p w14:paraId="366ADA89" w14:textId="77777777" w:rsidR="00F3061D" w:rsidRPr="009E64A2" w:rsidRDefault="00F3061D" w:rsidP="00F3061D">
            <w:pPr>
              <w:pStyle w:val="Frsttsbladstext"/>
              <w:jc w:val="center"/>
              <w:rPr>
                <w:rFonts w:asciiTheme="minorHAnsi" w:hAnsiTheme="minorHAnsi" w:cstheme="minorHAnsi"/>
                <w:b w:val="0"/>
                <w:caps w:val="0"/>
                <w:sz w:val="22"/>
                <w:szCs w:val="22"/>
                <w:lang w:val="en-GB"/>
              </w:rPr>
            </w:pPr>
          </w:p>
          <w:p w14:paraId="3C4E8466" w14:textId="77777777" w:rsidR="00F3061D" w:rsidRPr="009E64A2" w:rsidRDefault="00F3061D" w:rsidP="00F3061D">
            <w:pPr>
              <w:pStyle w:val="Frsttsbladstext"/>
              <w:jc w:val="center"/>
              <w:rPr>
                <w:rFonts w:asciiTheme="minorHAnsi" w:hAnsiTheme="minorHAnsi" w:cstheme="minorHAnsi"/>
                <w:b w:val="0"/>
                <w:caps w:val="0"/>
                <w:sz w:val="22"/>
                <w:szCs w:val="22"/>
                <w:lang w:val="en-GB"/>
              </w:rPr>
            </w:pPr>
            <w:r w:rsidRPr="009E64A2">
              <w:rPr>
                <w:rFonts w:asciiTheme="minorHAnsi" w:hAnsiTheme="minorHAnsi" w:cstheme="minorHAnsi"/>
                <w:b w:val="0"/>
                <w:caps w:val="0"/>
                <w:sz w:val="22"/>
                <w:szCs w:val="22"/>
                <w:lang w:val="en-GB"/>
              </w:rPr>
              <w:t>of</w:t>
            </w:r>
          </w:p>
          <w:p w14:paraId="2B3A1399" w14:textId="77777777" w:rsidR="00F3061D" w:rsidRPr="009E64A2" w:rsidRDefault="00F3061D" w:rsidP="00F3061D">
            <w:pPr>
              <w:jc w:val="center"/>
              <w:rPr>
                <w:rFonts w:asciiTheme="minorHAnsi" w:hAnsiTheme="minorHAnsi" w:cstheme="minorHAnsi"/>
                <w:szCs w:val="22"/>
                <w:lang w:val="en-GB"/>
              </w:rPr>
            </w:pPr>
          </w:p>
          <w:p w14:paraId="2EDFA11F" w14:textId="77777777" w:rsidR="008B680E" w:rsidRPr="00995E56" w:rsidRDefault="008B680E" w:rsidP="008B680E">
            <w:pPr>
              <w:pStyle w:val="RubForstasida"/>
              <w:rPr>
                <w:rFonts w:asciiTheme="majorHAnsi" w:hAnsiTheme="majorHAnsi" w:cstheme="majorHAnsi"/>
                <w:sz w:val="22"/>
                <w:szCs w:val="22"/>
                <w:lang w:val="en-US"/>
              </w:rPr>
            </w:pPr>
            <w:r w:rsidRPr="00995E56">
              <w:rPr>
                <w:rFonts w:asciiTheme="majorHAnsi" w:hAnsiTheme="majorHAnsi" w:cstheme="majorHAnsi"/>
                <w:sz w:val="22"/>
                <w:szCs w:val="22"/>
                <w:lang w:val="en-US"/>
              </w:rPr>
              <w:t>Nordea Bank AB (publ)</w:t>
            </w:r>
          </w:p>
          <w:p w14:paraId="1A874B31" w14:textId="77777777" w:rsidR="00F97DA2" w:rsidRDefault="00F97DA2" w:rsidP="00F3061D">
            <w:pPr>
              <w:pStyle w:val="Frsttssidagemener"/>
              <w:rPr>
                <w:rFonts w:asciiTheme="minorHAnsi" w:hAnsiTheme="minorHAnsi" w:cstheme="minorHAnsi"/>
                <w:szCs w:val="22"/>
                <w:lang w:val="en-GB"/>
              </w:rPr>
            </w:pPr>
          </w:p>
          <w:p w14:paraId="19D3CD3B" w14:textId="4CFCD514" w:rsidR="00F3061D" w:rsidRPr="009E64A2" w:rsidRDefault="00F3061D" w:rsidP="00F3061D">
            <w:pPr>
              <w:pStyle w:val="Frsttssidagemener"/>
              <w:rPr>
                <w:rFonts w:asciiTheme="minorHAnsi" w:hAnsiTheme="minorHAnsi" w:cstheme="minorHAnsi"/>
                <w:szCs w:val="22"/>
                <w:lang w:val="en-GB"/>
              </w:rPr>
            </w:pPr>
            <w:r w:rsidRPr="009E64A2">
              <w:rPr>
                <w:rFonts w:asciiTheme="minorHAnsi" w:hAnsiTheme="minorHAnsi" w:cstheme="minorHAnsi"/>
                <w:szCs w:val="22"/>
                <w:lang w:val="en-GB"/>
              </w:rPr>
              <w:t>and</w:t>
            </w:r>
          </w:p>
          <w:p w14:paraId="6D74FE4A" w14:textId="77777777" w:rsidR="00F3061D" w:rsidRPr="009E64A2" w:rsidRDefault="00F3061D" w:rsidP="00F3061D">
            <w:pPr>
              <w:pStyle w:val="Frsttssidagemener"/>
              <w:rPr>
                <w:rFonts w:asciiTheme="minorHAnsi" w:hAnsiTheme="minorHAnsi" w:cstheme="minorHAnsi"/>
                <w:szCs w:val="22"/>
                <w:lang w:val="en-GB"/>
              </w:rPr>
            </w:pPr>
          </w:p>
          <w:p w14:paraId="6094B204" w14:textId="4D915720" w:rsidR="008B680E" w:rsidRPr="00995E56" w:rsidRDefault="004936DC" w:rsidP="008B680E">
            <w:pPr>
              <w:pStyle w:val="RubForstasida"/>
              <w:rPr>
                <w:rFonts w:asciiTheme="majorHAnsi" w:hAnsiTheme="majorHAnsi" w:cstheme="majorHAnsi"/>
                <w:sz w:val="22"/>
                <w:szCs w:val="22"/>
                <w:lang w:val="en-US"/>
              </w:rPr>
            </w:pPr>
            <w:r>
              <w:rPr>
                <w:rFonts w:asciiTheme="majorHAnsi" w:hAnsiTheme="majorHAnsi" w:cstheme="majorHAnsi"/>
                <w:sz w:val="22"/>
                <w:szCs w:val="22"/>
                <w:lang w:val="en-US"/>
              </w:rPr>
              <w:t>Nordea</w:t>
            </w:r>
            <w:r w:rsidR="00787583">
              <w:rPr>
                <w:rFonts w:asciiTheme="majorHAnsi" w:hAnsiTheme="majorHAnsi" w:cstheme="majorHAnsi"/>
                <w:sz w:val="22"/>
                <w:szCs w:val="22"/>
                <w:lang w:val="en-US"/>
              </w:rPr>
              <w:t xml:space="preserve"> Holding</w:t>
            </w:r>
            <w:r w:rsidR="0089224C">
              <w:rPr>
                <w:rFonts w:asciiTheme="majorHAnsi" w:hAnsiTheme="majorHAnsi" w:cstheme="majorHAnsi"/>
                <w:sz w:val="22"/>
                <w:szCs w:val="22"/>
                <w:lang w:val="en-US"/>
              </w:rPr>
              <w:t xml:space="preserve"> </w:t>
            </w:r>
            <w:r w:rsidR="009F16AC">
              <w:rPr>
                <w:rFonts w:asciiTheme="majorHAnsi" w:hAnsiTheme="majorHAnsi" w:cstheme="majorHAnsi"/>
                <w:sz w:val="22"/>
                <w:szCs w:val="22"/>
                <w:lang w:val="en-US"/>
              </w:rPr>
              <w:t>Abp</w:t>
            </w:r>
          </w:p>
          <w:p w14:paraId="53CD9E17" w14:textId="77777777" w:rsidR="00F3061D" w:rsidRPr="009E64A2" w:rsidRDefault="00F3061D" w:rsidP="00F3061D">
            <w:pPr>
              <w:pStyle w:val="RubForstasida"/>
              <w:rPr>
                <w:rFonts w:asciiTheme="minorHAnsi" w:hAnsiTheme="minorHAnsi" w:cstheme="minorHAnsi"/>
                <w:b w:val="0"/>
                <w:sz w:val="22"/>
                <w:szCs w:val="22"/>
                <w:lang w:val="en-GB"/>
              </w:rPr>
            </w:pPr>
          </w:p>
          <w:p w14:paraId="1236B7D1" w14:textId="77777777" w:rsidR="001B762D" w:rsidRDefault="00F3061D" w:rsidP="00F3061D">
            <w:pPr>
              <w:pStyle w:val="RubForstasida"/>
              <w:rPr>
                <w:lang w:val="en-GB"/>
              </w:rPr>
            </w:pPr>
            <w:r w:rsidRPr="009E64A2">
              <w:rPr>
                <w:sz w:val="36"/>
                <w:szCs w:val="36"/>
                <w:lang w:val="en-GB"/>
              </w:rPr>
              <w:t>report regarding the suitability of the merger</w:t>
            </w:r>
          </w:p>
        </w:tc>
        <w:tc>
          <w:tcPr>
            <w:tcW w:w="4431" w:type="dxa"/>
          </w:tcPr>
          <w:p w14:paraId="404465EF" w14:textId="77777777" w:rsidR="007901CE" w:rsidRPr="00DB671A" w:rsidRDefault="007901CE" w:rsidP="007901CE">
            <w:pPr>
              <w:pStyle w:val="Frsttsbladstext"/>
              <w:jc w:val="center"/>
              <w:rPr>
                <w:caps w:val="0"/>
                <w:sz w:val="44"/>
                <w:szCs w:val="44"/>
                <w:lang w:val="en-GB"/>
              </w:rPr>
            </w:pPr>
          </w:p>
          <w:p w14:paraId="1B0745C9" w14:textId="77777777" w:rsidR="007901CE" w:rsidRPr="00A872BD" w:rsidRDefault="007901CE" w:rsidP="007901CE">
            <w:pPr>
              <w:pStyle w:val="Frsttsbladstext"/>
              <w:jc w:val="center"/>
              <w:rPr>
                <w:caps w:val="0"/>
                <w:sz w:val="36"/>
                <w:szCs w:val="36"/>
                <w:lang w:val="de-DE"/>
              </w:rPr>
            </w:pPr>
            <w:r w:rsidRPr="00A872BD">
              <w:rPr>
                <w:caps w:val="0"/>
                <w:sz w:val="36"/>
                <w:szCs w:val="36"/>
                <w:lang w:val="de-DE"/>
              </w:rPr>
              <w:t xml:space="preserve">Hallitusten </w:t>
            </w:r>
          </w:p>
          <w:p w14:paraId="010D0032" w14:textId="77777777" w:rsidR="007901CE" w:rsidRPr="00A872BD" w:rsidRDefault="007901CE" w:rsidP="007901CE">
            <w:pPr>
              <w:pStyle w:val="Frsttsbladstext"/>
              <w:jc w:val="center"/>
              <w:rPr>
                <w:rFonts w:asciiTheme="minorHAnsi" w:hAnsiTheme="minorHAnsi" w:cstheme="minorHAnsi"/>
                <w:b w:val="0"/>
                <w:caps w:val="0"/>
                <w:sz w:val="22"/>
                <w:szCs w:val="22"/>
                <w:lang w:val="de-DE"/>
              </w:rPr>
            </w:pPr>
          </w:p>
          <w:p w14:paraId="6ACD3F46" w14:textId="77777777" w:rsidR="007901CE" w:rsidRPr="00A872BD" w:rsidRDefault="007901CE" w:rsidP="007901CE">
            <w:pPr>
              <w:pStyle w:val="Frsttsbladstext"/>
              <w:jc w:val="center"/>
              <w:rPr>
                <w:rFonts w:asciiTheme="minorHAnsi" w:hAnsiTheme="minorHAnsi" w:cstheme="minorHAnsi"/>
                <w:b w:val="0"/>
                <w:caps w:val="0"/>
                <w:sz w:val="22"/>
                <w:szCs w:val="22"/>
                <w:lang w:val="de-DE"/>
              </w:rPr>
            </w:pPr>
          </w:p>
          <w:p w14:paraId="5F015AB6" w14:textId="77777777" w:rsidR="007901CE" w:rsidRPr="00A872BD" w:rsidRDefault="007901CE" w:rsidP="007901CE">
            <w:pPr>
              <w:jc w:val="center"/>
              <w:rPr>
                <w:rFonts w:asciiTheme="minorHAnsi" w:hAnsiTheme="minorHAnsi" w:cstheme="minorHAnsi"/>
                <w:szCs w:val="22"/>
                <w:lang w:val="de-DE"/>
              </w:rPr>
            </w:pPr>
          </w:p>
          <w:p w14:paraId="1B3CA890" w14:textId="77777777" w:rsidR="008B680E" w:rsidRPr="00A872BD" w:rsidRDefault="008B680E" w:rsidP="008B680E">
            <w:pPr>
              <w:pStyle w:val="RubForstasida"/>
              <w:rPr>
                <w:rFonts w:asciiTheme="majorHAnsi" w:hAnsiTheme="majorHAnsi" w:cstheme="majorHAnsi"/>
                <w:sz w:val="22"/>
                <w:szCs w:val="22"/>
                <w:lang w:val="de-DE"/>
              </w:rPr>
            </w:pPr>
            <w:r w:rsidRPr="00A872BD">
              <w:rPr>
                <w:rFonts w:asciiTheme="majorHAnsi" w:hAnsiTheme="majorHAnsi" w:cstheme="majorHAnsi"/>
                <w:sz w:val="22"/>
                <w:szCs w:val="22"/>
                <w:lang w:val="de-DE"/>
              </w:rPr>
              <w:t>Nordea Bank AB (publ)</w:t>
            </w:r>
          </w:p>
          <w:p w14:paraId="2F1F04CB" w14:textId="77777777" w:rsidR="007901CE" w:rsidRPr="00A872BD" w:rsidRDefault="007901CE" w:rsidP="007901CE">
            <w:pPr>
              <w:pStyle w:val="Frsttssidagemener"/>
              <w:rPr>
                <w:rFonts w:asciiTheme="minorHAnsi" w:hAnsiTheme="minorHAnsi" w:cstheme="minorHAnsi"/>
                <w:szCs w:val="22"/>
                <w:lang w:val="de-DE"/>
              </w:rPr>
            </w:pPr>
          </w:p>
          <w:p w14:paraId="5407A1E8" w14:textId="77777777" w:rsidR="007901CE" w:rsidRPr="006D6DB8" w:rsidRDefault="007901CE" w:rsidP="007901CE">
            <w:pPr>
              <w:pStyle w:val="Frsttssidagemener"/>
              <w:rPr>
                <w:rFonts w:asciiTheme="minorHAnsi" w:hAnsiTheme="minorHAnsi" w:cstheme="minorHAnsi"/>
                <w:szCs w:val="22"/>
                <w:lang w:val="fi-FI"/>
              </w:rPr>
            </w:pPr>
            <w:r w:rsidRPr="006D6DB8">
              <w:rPr>
                <w:rFonts w:asciiTheme="minorHAnsi" w:hAnsiTheme="minorHAnsi" w:cstheme="minorHAnsi"/>
                <w:szCs w:val="22"/>
                <w:lang w:val="fi-FI"/>
              </w:rPr>
              <w:t>ja</w:t>
            </w:r>
          </w:p>
          <w:p w14:paraId="43DB2A08" w14:textId="77777777" w:rsidR="007901CE" w:rsidRPr="006D6DB8" w:rsidRDefault="007901CE" w:rsidP="007901CE">
            <w:pPr>
              <w:pStyle w:val="Frsttssidagemener"/>
              <w:rPr>
                <w:rFonts w:asciiTheme="minorHAnsi" w:hAnsiTheme="minorHAnsi" w:cstheme="minorHAnsi"/>
                <w:szCs w:val="22"/>
                <w:lang w:val="fi-FI"/>
              </w:rPr>
            </w:pPr>
          </w:p>
          <w:p w14:paraId="0E6029A4" w14:textId="78855303" w:rsidR="008B680E" w:rsidRPr="00A872BD" w:rsidRDefault="00881E10" w:rsidP="008B680E">
            <w:pPr>
              <w:pStyle w:val="RubForstasida"/>
              <w:rPr>
                <w:rFonts w:asciiTheme="majorHAnsi" w:hAnsiTheme="majorHAnsi" w:cstheme="majorHAnsi"/>
                <w:sz w:val="22"/>
                <w:szCs w:val="22"/>
                <w:lang w:val="fi-FI"/>
              </w:rPr>
            </w:pPr>
            <w:r w:rsidRPr="00881E10">
              <w:rPr>
                <w:rFonts w:asciiTheme="majorHAnsi" w:hAnsiTheme="majorHAnsi" w:cstheme="majorHAnsi"/>
                <w:sz w:val="22"/>
                <w:szCs w:val="22"/>
                <w:lang w:val="fi-FI"/>
              </w:rPr>
              <w:t>Nordea</w:t>
            </w:r>
            <w:r w:rsidR="00787583">
              <w:rPr>
                <w:rFonts w:asciiTheme="majorHAnsi" w:hAnsiTheme="majorHAnsi" w:cstheme="majorHAnsi"/>
                <w:sz w:val="22"/>
                <w:szCs w:val="22"/>
                <w:lang w:val="fi-FI"/>
              </w:rPr>
              <w:t xml:space="preserve"> Holding</w:t>
            </w:r>
            <w:r w:rsidR="0089224C" w:rsidRPr="00A872BD">
              <w:rPr>
                <w:rFonts w:asciiTheme="majorHAnsi" w:hAnsiTheme="majorHAnsi" w:cstheme="majorHAnsi"/>
                <w:sz w:val="22"/>
                <w:szCs w:val="22"/>
                <w:lang w:val="fi-FI"/>
              </w:rPr>
              <w:t xml:space="preserve"> Oyj</w:t>
            </w:r>
          </w:p>
          <w:p w14:paraId="0DF06A0F" w14:textId="77777777" w:rsidR="00F97DA2" w:rsidRPr="00A872BD" w:rsidRDefault="00F97DA2" w:rsidP="007901CE">
            <w:pPr>
              <w:pStyle w:val="RubForstasida"/>
              <w:rPr>
                <w:rFonts w:asciiTheme="minorHAnsi" w:hAnsiTheme="minorHAnsi" w:cstheme="minorHAnsi"/>
                <w:b w:val="0"/>
                <w:sz w:val="22"/>
                <w:szCs w:val="22"/>
                <w:lang w:val="fi-FI"/>
              </w:rPr>
            </w:pPr>
          </w:p>
          <w:p w14:paraId="3584538F" w14:textId="77777777" w:rsidR="007901CE" w:rsidRPr="00FE5AC5" w:rsidRDefault="007901CE" w:rsidP="007901CE">
            <w:pPr>
              <w:pStyle w:val="Frsttsbladstext"/>
              <w:jc w:val="center"/>
              <w:rPr>
                <w:caps w:val="0"/>
                <w:sz w:val="44"/>
                <w:szCs w:val="44"/>
                <w:lang w:val="fi-FI"/>
              </w:rPr>
            </w:pPr>
            <w:r w:rsidRPr="007901CE">
              <w:rPr>
                <w:caps w:val="0"/>
                <w:sz w:val="36"/>
                <w:szCs w:val="36"/>
                <w:lang w:val="fi-FI"/>
              </w:rPr>
              <w:t>selvitys sulautumisen soveltuvuudesta</w:t>
            </w:r>
          </w:p>
          <w:p w14:paraId="30865683" w14:textId="77777777" w:rsidR="007901CE" w:rsidRPr="005A335B" w:rsidRDefault="007901CE">
            <w:pPr>
              <w:rPr>
                <w:lang w:val="fi-FI"/>
              </w:rPr>
            </w:pPr>
          </w:p>
        </w:tc>
      </w:tr>
    </w:tbl>
    <w:p w14:paraId="475914E9" w14:textId="77777777" w:rsidR="00D56D80" w:rsidRDefault="00D56D80">
      <w:pPr>
        <w:spacing w:after="0" w:line="240" w:lineRule="auto"/>
        <w:rPr>
          <w:lang w:val="fi-FI"/>
        </w:rPr>
        <w:sectPr w:rsidR="00D56D80" w:rsidSect="006E6148">
          <w:headerReference w:type="default" r:id="rId9"/>
          <w:headerReference w:type="first" r:id="rId10"/>
          <w:pgSz w:w="16838" w:h="11906" w:orient="landscape" w:code="9"/>
          <w:pgMar w:top="1814" w:right="2381" w:bottom="1701" w:left="1985" w:header="1361" w:footer="680" w:gutter="0"/>
          <w:cols w:space="708"/>
          <w:titlePg/>
          <w:docGrid w:linePitch="360"/>
        </w:sectPr>
      </w:pPr>
    </w:p>
    <w:tbl>
      <w:tblPr>
        <w:tblStyle w:val="Tabellrutnt"/>
        <w:tblW w:w="1375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687"/>
        <w:gridCol w:w="283"/>
        <w:gridCol w:w="710"/>
        <w:gridCol w:w="3691"/>
        <w:gridCol w:w="283"/>
        <w:gridCol w:w="707"/>
        <w:gridCol w:w="3680"/>
      </w:tblGrid>
      <w:tr w:rsidR="00D56D80" w14:paraId="36B801EC" w14:textId="77777777" w:rsidTr="00317950">
        <w:tc>
          <w:tcPr>
            <w:tcW w:w="258" w:type="pct"/>
          </w:tcPr>
          <w:p w14:paraId="1F57740F" w14:textId="77777777" w:rsidR="00F374F3" w:rsidRDefault="00F374F3" w:rsidP="004364FB">
            <w:pPr>
              <w:keepNext/>
              <w:spacing w:after="60"/>
              <w:rPr>
                <w:rFonts w:asciiTheme="minorHAnsi" w:hAnsiTheme="minorHAnsi" w:cstheme="minorHAnsi"/>
                <w:b/>
                <w:szCs w:val="22"/>
                <w:lang w:val="en-GB"/>
              </w:rPr>
            </w:pPr>
            <w:r>
              <w:rPr>
                <w:rFonts w:asciiTheme="majorHAnsi" w:hAnsiTheme="majorHAnsi" w:cstheme="majorHAnsi"/>
                <w:b/>
                <w:szCs w:val="22"/>
              </w:rPr>
              <w:lastRenderedPageBreak/>
              <w:t>1.</w:t>
            </w:r>
          </w:p>
        </w:tc>
        <w:tc>
          <w:tcPr>
            <w:tcW w:w="1341" w:type="pct"/>
          </w:tcPr>
          <w:p w14:paraId="790C3066" w14:textId="77777777" w:rsidR="00F374F3" w:rsidRDefault="00B62C3F" w:rsidP="004364FB">
            <w:pPr>
              <w:keepNext/>
              <w:spacing w:after="60"/>
              <w:rPr>
                <w:rFonts w:asciiTheme="majorHAnsi" w:hAnsiTheme="majorHAnsi" w:cstheme="majorHAnsi"/>
                <w:b/>
                <w:szCs w:val="22"/>
              </w:rPr>
            </w:pPr>
            <w:r w:rsidRPr="007562C2">
              <w:rPr>
                <w:rFonts w:asciiTheme="majorHAnsi" w:hAnsiTheme="majorHAnsi" w:cstheme="majorHAnsi"/>
                <w:b/>
                <w:caps/>
                <w:szCs w:val="22"/>
              </w:rPr>
              <w:t>I</w:t>
            </w:r>
            <w:r w:rsidRPr="007562C2">
              <w:rPr>
                <w:rFonts w:asciiTheme="majorHAnsi" w:hAnsiTheme="majorHAnsi" w:cstheme="majorHAnsi"/>
                <w:b/>
                <w:szCs w:val="22"/>
              </w:rPr>
              <w:t>nledning</w:t>
            </w:r>
          </w:p>
        </w:tc>
        <w:tc>
          <w:tcPr>
            <w:tcW w:w="103" w:type="pct"/>
          </w:tcPr>
          <w:p w14:paraId="63A9A7CC" w14:textId="77777777" w:rsidR="00F374F3" w:rsidRDefault="00F374F3" w:rsidP="004364FB">
            <w:pPr>
              <w:keepNext/>
              <w:spacing w:after="60"/>
              <w:jc w:val="right"/>
              <w:rPr>
                <w:szCs w:val="22"/>
              </w:rPr>
            </w:pPr>
          </w:p>
        </w:tc>
        <w:tc>
          <w:tcPr>
            <w:tcW w:w="258" w:type="pct"/>
          </w:tcPr>
          <w:p w14:paraId="7E9728ED" w14:textId="77777777" w:rsidR="00F374F3" w:rsidRDefault="00F374F3" w:rsidP="004364FB">
            <w:pPr>
              <w:keepNext/>
              <w:spacing w:after="60"/>
              <w:rPr>
                <w:szCs w:val="22"/>
                <w:lang w:val="en-GB"/>
              </w:rPr>
            </w:pPr>
            <w:r>
              <w:rPr>
                <w:rFonts w:asciiTheme="majorHAnsi" w:hAnsiTheme="majorHAnsi" w:cstheme="majorHAnsi"/>
                <w:b/>
                <w:szCs w:val="22"/>
              </w:rPr>
              <w:t>1.</w:t>
            </w:r>
          </w:p>
        </w:tc>
        <w:tc>
          <w:tcPr>
            <w:tcW w:w="1342" w:type="pct"/>
          </w:tcPr>
          <w:p w14:paraId="080A1AEA" w14:textId="77777777" w:rsidR="00F374F3" w:rsidRDefault="00B62C3F" w:rsidP="004364FB">
            <w:pPr>
              <w:pStyle w:val="Listanumrerad"/>
              <w:keepNext/>
              <w:numPr>
                <w:ilvl w:val="0"/>
                <w:numId w:val="0"/>
              </w:numPr>
              <w:spacing w:after="60"/>
              <w:ind w:left="851" w:hanging="851"/>
              <w:rPr>
                <w:rFonts w:asciiTheme="majorHAnsi" w:hAnsiTheme="majorHAnsi" w:cstheme="majorHAnsi"/>
                <w:b/>
                <w:szCs w:val="22"/>
                <w:lang w:val="en-GB"/>
              </w:rPr>
            </w:pPr>
            <w:r w:rsidRPr="007562C2">
              <w:rPr>
                <w:rFonts w:asciiTheme="majorHAnsi" w:hAnsiTheme="majorHAnsi" w:cstheme="majorHAnsi"/>
                <w:b/>
                <w:szCs w:val="22"/>
                <w:lang w:val="en-GB"/>
              </w:rPr>
              <w:t>Introduction</w:t>
            </w:r>
          </w:p>
        </w:tc>
        <w:tc>
          <w:tcPr>
            <w:tcW w:w="103" w:type="pct"/>
          </w:tcPr>
          <w:p w14:paraId="06B73E94" w14:textId="77777777" w:rsidR="00F374F3" w:rsidRDefault="00F374F3" w:rsidP="004364FB">
            <w:pPr>
              <w:pStyle w:val="Listanumrerad"/>
              <w:keepNext/>
              <w:numPr>
                <w:ilvl w:val="0"/>
                <w:numId w:val="0"/>
              </w:numPr>
              <w:spacing w:after="60"/>
              <w:ind w:left="851" w:hanging="851"/>
              <w:rPr>
                <w:rFonts w:asciiTheme="majorHAnsi" w:hAnsiTheme="majorHAnsi" w:cstheme="majorHAnsi"/>
                <w:b/>
                <w:szCs w:val="22"/>
                <w:lang w:val="en-GB"/>
              </w:rPr>
            </w:pPr>
          </w:p>
        </w:tc>
        <w:tc>
          <w:tcPr>
            <w:tcW w:w="257" w:type="pct"/>
          </w:tcPr>
          <w:p w14:paraId="3EE876C0" w14:textId="77777777" w:rsidR="00F374F3" w:rsidRDefault="00ED75F9" w:rsidP="004364FB">
            <w:pPr>
              <w:pStyle w:val="Listanumrerad"/>
              <w:keepNext/>
              <w:numPr>
                <w:ilvl w:val="0"/>
                <w:numId w:val="0"/>
              </w:numPr>
              <w:spacing w:after="60"/>
              <w:ind w:left="851" w:hanging="851"/>
              <w:rPr>
                <w:rFonts w:asciiTheme="majorHAnsi" w:hAnsiTheme="majorHAnsi" w:cstheme="majorHAnsi"/>
                <w:b/>
                <w:szCs w:val="22"/>
                <w:lang w:val="en-GB"/>
              </w:rPr>
            </w:pPr>
            <w:r>
              <w:rPr>
                <w:rFonts w:asciiTheme="majorHAnsi" w:hAnsiTheme="majorHAnsi" w:cstheme="majorHAnsi"/>
                <w:b/>
                <w:szCs w:val="22"/>
              </w:rPr>
              <w:t>1.</w:t>
            </w:r>
          </w:p>
        </w:tc>
        <w:tc>
          <w:tcPr>
            <w:tcW w:w="1338" w:type="pct"/>
          </w:tcPr>
          <w:p w14:paraId="77208C6C" w14:textId="77777777" w:rsidR="00F374F3" w:rsidRDefault="007901CE" w:rsidP="004364FB">
            <w:pPr>
              <w:pStyle w:val="Listanumrerad"/>
              <w:keepNext/>
              <w:numPr>
                <w:ilvl w:val="0"/>
                <w:numId w:val="0"/>
              </w:numPr>
              <w:spacing w:after="60"/>
              <w:ind w:left="851" w:hanging="851"/>
              <w:rPr>
                <w:rFonts w:asciiTheme="majorHAnsi" w:hAnsiTheme="majorHAnsi" w:cstheme="majorHAnsi"/>
                <w:b/>
                <w:szCs w:val="22"/>
                <w:lang w:val="en-GB"/>
              </w:rPr>
            </w:pPr>
            <w:r>
              <w:rPr>
                <w:rFonts w:asciiTheme="majorHAnsi" w:hAnsiTheme="majorHAnsi" w:cstheme="majorHAnsi"/>
                <w:b/>
                <w:szCs w:val="22"/>
                <w:lang w:val="en-GB"/>
              </w:rPr>
              <w:t>Johdanto</w:t>
            </w:r>
          </w:p>
        </w:tc>
      </w:tr>
      <w:tr w:rsidR="00D56D80" w:rsidRPr="00890B1B" w14:paraId="4118CDC5" w14:textId="77777777" w:rsidTr="00317950">
        <w:tc>
          <w:tcPr>
            <w:tcW w:w="258" w:type="pct"/>
          </w:tcPr>
          <w:p w14:paraId="4C2E89C9" w14:textId="77777777" w:rsidR="007901CE" w:rsidRDefault="007901CE" w:rsidP="007901CE">
            <w:pPr>
              <w:pStyle w:val="Rubrik2"/>
              <w:keepNext w:val="0"/>
              <w:numPr>
                <w:ilvl w:val="0"/>
                <w:numId w:val="0"/>
              </w:numPr>
              <w:rPr>
                <w:rFonts w:asciiTheme="minorHAnsi" w:hAnsiTheme="minorHAnsi" w:cstheme="minorHAnsi"/>
                <w:b w:val="0"/>
                <w:sz w:val="22"/>
                <w:szCs w:val="22"/>
              </w:rPr>
            </w:pPr>
            <w:r>
              <w:rPr>
                <w:rFonts w:asciiTheme="minorHAnsi" w:hAnsiTheme="minorHAnsi" w:cstheme="minorHAnsi"/>
                <w:b w:val="0"/>
                <w:sz w:val="22"/>
                <w:szCs w:val="22"/>
              </w:rPr>
              <w:t>1.1</w:t>
            </w:r>
          </w:p>
        </w:tc>
        <w:tc>
          <w:tcPr>
            <w:tcW w:w="1341" w:type="pct"/>
          </w:tcPr>
          <w:p w14:paraId="3068AFB3" w14:textId="255EBE07" w:rsidR="007901CE" w:rsidRDefault="003D77C8" w:rsidP="00D26074">
            <w:pPr>
              <w:pStyle w:val="Normalmedindrag"/>
              <w:tabs>
                <w:tab w:val="left" w:pos="3402"/>
              </w:tabs>
              <w:ind w:left="0"/>
            </w:pPr>
            <w:r>
              <w:t>S</w:t>
            </w:r>
            <w:r w:rsidR="00D82325" w:rsidRPr="009E64A2">
              <w:t xml:space="preserve">tyrelserna </w:t>
            </w:r>
            <w:r>
              <w:t xml:space="preserve">avger </w:t>
            </w:r>
            <w:r w:rsidR="00D82325" w:rsidRPr="009E64A2">
              <w:t>härmed denna redo</w:t>
            </w:r>
            <w:r w:rsidR="00317950">
              <w:softHyphen/>
            </w:r>
            <w:r w:rsidR="00D82325" w:rsidRPr="009E64A2">
              <w:t xml:space="preserve">görelse </w:t>
            </w:r>
            <w:r w:rsidR="001B6528">
              <w:t xml:space="preserve">enligt </w:t>
            </w:r>
            <w:r w:rsidR="001B6528" w:rsidRPr="009E64A2">
              <w:t xml:space="preserve">16 kap. 22 § </w:t>
            </w:r>
            <w:r w:rsidR="00F415E9">
              <w:t>3 mom.</w:t>
            </w:r>
            <w:r w:rsidR="001B6528" w:rsidRPr="009E64A2">
              <w:t xml:space="preserve"> finska aktiebolagslagen (21.7.</w:t>
            </w:r>
            <w:r w:rsidR="00317950">
              <w:rPr>
                <w:sz w:val="2"/>
                <w:szCs w:val="2"/>
              </w:rPr>
              <w:t xml:space="preserve"> </w:t>
            </w:r>
            <w:r w:rsidR="001B6528" w:rsidRPr="009E64A2">
              <w:t>2006/624) (”</w:t>
            </w:r>
            <w:r w:rsidR="001B6528" w:rsidRPr="009E64A2">
              <w:rPr>
                <w:b/>
              </w:rPr>
              <w:t>FABL</w:t>
            </w:r>
            <w:r w:rsidR="001B6528" w:rsidRPr="009E64A2">
              <w:t>”)</w:t>
            </w:r>
            <w:r w:rsidR="001B6528">
              <w:t xml:space="preserve"> </w:t>
            </w:r>
            <w:r w:rsidR="00D82325" w:rsidRPr="009E64A2">
              <w:t xml:space="preserve">respektive </w:t>
            </w:r>
            <w:r w:rsidR="001B6528" w:rsidRPr="009E64A2">
              <w:t>23 kap. 39 § svenska aktiebolagslagen (2005:551) (”</w:t>
            </w:r>
            <w:r w:rsidR="00504924" w:rsidRPr="00FE47AC">
              <w:rPr>
                <w:b/>
              </w:rPr>
              <w:t>S</w:t>
            </w:r>
            <w:r w:rsidR="001B6528" w:rsidRPr="009E64A2">
              <w:rPr>
                <w:b/>
              </w:rPr>
              <w:t>ABL</w:t>
            </w:r>
            <w:r w:rsidR="001B6528" w:rsidRPr="009E64A2">
              <w:t>”)</w:t>
            </w:r>
            <w:r w:rsidR="00EF2334">
              <w:t xml:space="preserve"> m</w:t>
            </w:r>
            <w:r w:rsidR="00EF2334" w:rsidRPr="009E64A2">
              <w:t>ed anledning av en före</w:t>
            </w:r>
            <w:r w:rsidR="00317950">
              <w:softHyphen/>
            </w:r>
            <w:r w:rsidR="00EF2334" w:rsidRPr="009E64A2">
              <w:t xml:space="preserve">slagen </w:t>
            </w:r>
            <w:r w:rsidR="009317D8">
              <w:t xml:space="preserve">omvänd </w:t>
            </w:r>
            <w:r w:rsidR="004364FB">
              <w:t>gräns</w:t>
            </w:r>
            <w:r w:rsidR="00EF2334" w:rsidRPr="009E64A2">
              <w:t>över</w:t>
            </w:r>
            <w:r w:rsidR="004364FB">
              <w:softHyphen/>
            </w:r>
            <w:r w:rsidR="00EF2334" w:rsidRPr="009E64A2">
              <w:t xml:space="preserve">skridande fusion mellan </w:t>
            </w:r>
            <w:r w:rsidR="00EF2334">
              <w:t>Nordea</w:t>
            </w:r>
            <w:r w:rsidR="00787583">
              <w:t xml:space="preserve"> Holding</w:t>
            </w:r>
            <w:r w:rsidR="00EF2334">
              <w:t xml:space="preserve"> </w:t>
            </w:r>
            <w:r w:rsidR="00366413">
              <w:t xml:space="preserve">Abp </w:t>
            </w:r>
            <w:r w:rsidR="00EF2334" w:rsidRPr="009E64A2">
              <w:t>(det ”</w:t>
            </w:r>
            <w:r w:rsidR="00EF2334" w:rsidRPr="009E64A2">
              <w:rPr>
                <w:b/>
              </w:rPr>
              <w:t>Övertagande Bolaget</w:t>
            </w:r>
            <w:r w:rsidR="00EF2334" w:rsidRPr="009E64A2">
              <w:t xml:space="preserve">”) och Nordea Bank </w:t>
            </w:r>
            <w:r w:rsidR="00EF2334">
              <w:t xml:space="preserve">AB (publ) </w:t>
            </w:r>
            <w:r w:rsidR="00EF2334" w:rsidRPr="009E64A2">
              <w:t>(det ”</w:t>
            </w:r>
            <w:r w:rsidR="00EF2334" w:rsidRPr="009E64A2">
              <w:rPr>
                <w:b/>
              </w:rPr>
              <w:t>Överlåtande Bolaget</w:t>
            </w:r>
            <w:r w:rsidR="00EF2334">
              <w:t>”).</w:t>
            </w:r>
          </w:p>
        </w:tc>
        <w:tc>
          <w:tcPr>
            <w:tcW w:w="103" w:type="pct"/>
          </w:tcPr>
          <w:p w14:paraId="3B292B09" w14:textId="77777777" w:rsidR="007901CE" w:rsidRDefault="007901CE" w:rsidP="007901CE">
            <w:pPr>
              <w:jc w:val="right"/>
            </w:pPr>
          </w:p>
        </w:tc>
        <w:tc>
          <w:tcPr>
            <w:tcW w:w="258" w:type="pct"/>
          </w:tcPr>
          <w:p w14:paraId="3564DD46" w14:textId="77777777" w:rsidR="007901CE" w:rsidRDefault="007901CE" w:rsidP="007901CE">
            <w:pPr>
              <w:rPr>
                <w:lang w:val="en-GB"/>
              </w:rPr>
            </w:pPr>
            <w:r>
              <w:rPr>
                <w:lang w:val="en-GB"/>
              </w:rPr>
              <w:t>1.1</w:t>
            </w:r>
          </w:p>
        </w:tc>
        <w:tc>
          <w:tcPr>
            <w:tcW w:w="1342" w:type="pct"/>
          </w:tcPr>
          <w:p w14:paraId="79899A92" w14:textId="2E42972A" w:rsidR="007901CE" w:rsidRDefault="003B5A1D" w:rsidP="004F6A14">
            <w:pPr>
              <w:rPr>
                <w:lang w:val="en-GB"/>
              </w:rPr>
            </w:pPr>
            <w:r>
              <w:rPr>
                <w:szCs w:val="22"/>
                <w:lang w:val="en-GB"/>
              </w:rPr>
              <w:t>T</w:t>
            </w:r>
            <w:r w:rsidR="007901CE" w:rsidRPr="009E64A2">
              <w:rPr>
                <w:szCs w:val="22"/>
                <w:lang w:val="en-GB"/>
              </w:rPr>
              <w:t xml:space="preserve">he boards of directors hereby submit the following report pursuant to </w:t>
            </w:r>
            <w:r w:rsidR="00F4090C" w:rsidRPr="009E64A2">
              <w:rPr>
                <w:lang w:val="en-GB"/>
              </w:rPr>
              <w:t>Chapter 16, Section 22, third paragraph, of the Finnish Companies Act (21.7.2006/624) (the “</w:t>
            </w:r>
            <w:r w:rsidR="00F4090C" w:rsidRPr="009E64A2">
              <w:rPr>
                <w:b/>
                <w:lang w:val="en-GB"/>
              </w:rPr>
              <w:t>FCA</w:t>
            </w:r>
            <w:r w:rsidR="00F4090C" w:rsidRPr="009E64A2">
              <w:rPr>
                <w:lang w:val="en-GB"/>
              </w:rPr>
              <w:t>”)</w:t>
            </w:r>
            <w:r w:rsidR="002B1991">
              <w:rPr>
                <w:lang w:val="en-GB"/>
              </w:rPr>
              <w:t xml:space="preserve"> and </w:t>
            </w:r>
            <w:r w:rsidR="007901CE" w:rsidRPr="009E64A2">
              <w:rPr>
                <w:szCs w:val="22"/>
                <w:lang w:val="en-GB"/>
              </w:rPr>
              <w:t>Chap</w:t>
            </w:r>
            <w:r w:rsidR="007901CE" w:rsidRPr="009E64A2">
              <w:rPr>
                <w:szCs w:val="22"/>
                <w:lang w:val="en-GB"/>
              </w:rPr>
              <w:softHyphen/>
              <w:t>ter 23, Section 39 of the Swedish Companies Act (SFS 2005:551) (the “</w:t>
            </w:r>
            <w:r w:rsidR="007901CE" w:rsidRPr="009E64A2">
              <w:rPr>
                <w:b/>
                <w:szCs w:val="22"/>
                <w:lang w:val="en-GB"/>
              </w:rPr>
              <w:t>SCA</w:t>
            </w:r>
            <w:r w:rsidR="007901CE" w:rsidRPr="009E64A2">
              <w:rPr>
                <w:szCs w:val="22"/>
                <w:lang w:val="en-GB"/>
              </w:rPr>
              <w:t>”)</w:t>
            </w:r>
            <w:r>
              <w:rPr>
                <w:szCs w:val="22"/>
                <w:lang w:val="en-GB"/>
              </w:rPr>
              <w:t xml:space="preserve">, respectively, </w:t>
            </w:r>
            <w:r w:rsidR="00383734">
              <w:rPr>
                <w:szCs w:val="22"/>
                <w:lang w:val="en-GB"/>
              </w:rPr>
              <w:t>i</w:t>
            </w:r>
            <w:r w:rsidRPr="009E64A2">
              <w:rPr>
                <w:szCs w:val="22"/>
                <w:lang w:val="en-GB"/>
              </w:rPr>
              <w:t xml:space="preserve">n view of a proposed </w:t>
            </w:r>
            <w:r w:rsidR="009317D8">
              <w:rPr>
                <w:szCs w:val="22"/>
                <w:lang w:val="en-GB"/>
              </w:rPr>
              <w:t xml:space="preserve">reversed </w:t>
            </w:r>
            <w:r w:rsidRPr="009E64A2">
              <w:rPr>
                <w:szCs w:val="22"/>
                <w:lang w:val="en-GB"/>
              </w:rPr>
              <w:t xml:space="preserve">cross-border merger between </w:t>
            </w:r>
            <w:r>
              <w:rPr>
                <w:szCs w:val="22"/>
                <w:lang w:val="en-GB"/>
              </w:rPr>
              <w:t>Nordea</w:t>
            </w:r>
            <w:r w:rsidR="00787583">
              <w:rPr>
                <w:szCs w:val="22"/>
                <w:lang w:val="en-GB"/>
              </w:rPr>
              <w:t xml:space="preserve"> Holding</w:t>
            </w:r>
            <w:r>
              <w:rPr>
                <w:szCs w:val="22"/>
                <w:lang w:val="en-GB"/>
              </w:rPr>
              <w:t xml:space="preserve"> </w:t>
            </w:r>
            <w:r w:rsidR="004F6A14">
              <w:rPr>
                <w:szCs w:val="22"/>
                <w:lang w:val="en-GB"/>
              </w:rPr>
              <w:t xml:space="preserve">Abp </w:t>
            </w:r>
            <w:r w:rsidRPr="009E64A2">
              <w:rPr>
                <w:szCs w:val="22"/>
                <w:lang w:val="en-GB"/>
              </w:rPr>
              <w:t>(the “</w:t>
            </w:r>
            <w:r w:rsidRPr="009E64A2">
              <w:rPr>
                <w:b/>
                <w:szCs w:val="22"/>
                <w:lang w:val="en-GB"/>
              </w:rPr>
              <w:t>Transferee Company</w:t>
            </w:r>
            <w:r w:rsidRPr="009E64A2">
              <w:rPr>
                <w:szCs w:val="22"/>
                <w:lang w:val="en-GB"/>
              </w:rPr>
              <w:t xml:space="preserve">”) and </w:t>
            </w:r>
            <w:r w:rsidRPr="005B62C5">
              <w:rPr>
                <w:szCs w:val="22"/>
                <w:lang w:val="en-GB"/>
              </w:rPr>
              <w:t>Nordea Bank AB (publ)</w:t>
            </w:r>
            <w:r w:rsidRPr="009E64A2">
              <w:rPr>
                <w:szCs w:val="22"/>
                <w:lang w:val="en-GB"/>
              </w:rPr>
              <w:t xml:space="preserve"> (the “</w:t>
            </w:r>
            <w:r w:rsidRPr="009E64A2">
              <w:rPr>
                <w:b/>
                <w:szCs w:val="22"/>
                <w:lang w:val="en-GB"/>
              </w:rPr>
              <w:t>Transferor Company</w:t>
            </w:r>
            <w:r w:rsidRPr="009E64A2">
              <w:rPr>
                <w:szCs w:val="22"/>
                <w:lang w:val="en-GB"/>
              </w:rPr>
              <w:t>”)</w:t>
            </w:r>
            <w:r w:rsidR="007611F8">
              <w:rPr>
                <w:szCs w:val="22"/>
                <w:lang w:val="en-GB"/>
              </w:rPr>
              <w:t>.</w:t>
            </w:r>
          </w:p>
        </w:tc>
        <w:tc>
          <w:tcPr>
            <w:tcW w:w="103" w:type="pct"/>
          </w:tcPr>
          <w:p w14:paraId="2EFBD292" w14:textId="77777777" w:rsidR="007901CE" w:rsidRDefault="007901CE" w:rsidP="007901CE">
            <w:pPr>
              <w:rPr>
                <w:lang w:val="en-GB"/>
              </w:rPr>
            </w:pPr>
          </w:p>
        </w:tc>
        <w:tc>
          <w:tcPr>
            <w:tcW w:w="257" w:type="pct"/>
          </w:tcPr>
          <w:p w14:paraId="0DC9E483" w14:textId="77777777" w:rsidR="007901CE" w:rsidRPr="00ED75F9" w:rsidRDefault="007901CE" w:rsidP="007901CE">
            <w:pPr>
              <w:rPr>
                <w:rFonts w:asciiTheme="minorHAnsi" w:hAnsiTheme="minorHAnsi" w:cstheme="minorHAnsi"/>
                <w:szCs w:val="22"/>
                <w:lang w:val="en-GB"/>
              </w:rPr>
            </w:pPr>
            <w:r>
              <w:rPr>
                <w:rFonts w:asciiTheme="minorHAnsi" w:hAnsiTheme="minorHAnsi" w:cstheme="minorHAnsi"/>
                <w:szCs w:val="22"/>
                <w:lang w:val="en-GB"/>
              </w:rPr>
              <w:t>1.1</w:t>
            </w:r>
          </w:p>
        </w:tc>
        <w:tc>
          <w:tcPr>
            <w:tcW w:w="1338" w:type="pct"/>
          </w:tcPr>
          <w:p w14:paraId="15503548" w14:textId="7819FEAB" w:rsidR="007901CE" w:rsidRPr="003D232C" w:rsidRDefault="00881E10" w:rsidP="004C2A0F">
            <w:pPr>
              <w:rPr>
                <w:lang w:val="fi-FI"/>
              </w:rPr>
            </w:pPr>
            <w:r>
              <w:rPr>
                <w:szCs w:val="22"/>
                <w:lang w:val="fi-FI"/>
              </w:rPr>
              <w:t>H</w:t>
            </w:r>
            <w:r w:rsidR="007901CE">
              <w:rPr>
                <w:szCs w:val="22"/>
                <w:lang w:val="fi-FI"/>
              </w:rPr>
              <w:t xml:space="preserve">allitukset esittävät seuraavan selvityksen </w:t>
            </w:r>
            <w:r w:rsidR="007901CE" w:rsidRPr="00A87731">
              <w:rPr>
                <w:szCs w:val="22"/>
                <w:lang w:val="fi-FI"/>
              </w:rPr>
              <w:t>Suomen osakeyhtiölain (21.7.2006/624) (“</w:t>
            </w:r>
            <w:r w:rsidR="007901CE" w:rsidRPr="00A87731">
              <w:rPr>
                <w:b/>
                <w:szCs w:val="22"/>
                <w:lang w:val="fi-FI"/>
              </w:rPr>
              <w:t>SOYL</w:t>
            </w:r>
            <w:r w:rsidR="007901CE" w:rsidRPr="00A87731">
              <w:rPr>
                <w:szCs w:val="22"/>
                <w:lang w:val="fi-FI"/>
              </w:rPr>
              <w:t xml:space="preserve">”) 16 luvun </w:t>
            </w:r>
            <w:r w:rsidR="007901CE">
              <w:rPr>
                <w:szCs w:val="22"/>
                <w:lang w:val="fi-FI"/>
              </w:rPr>
              <w:t xml:space="preserve">22 </w:t>
            </w:r>
            <w:r w:rsidR="007901CE" w:rsidRPr="00A87731">
              <w:rPr>
                <w:szCs w:val="22"/>
                <w:lang w:val="fi-FI"/>
              </w:rPr>
              <w:t>§:</w:t>
            </w:r>
            <w:r w:rsidR="007901CE">
              <w:rPr>
                <w:szCs w:val="22"/>
                <w:lang w:val="fi-FI"/>
              </w:rPr>
              <w:t xml:space="preserve">n 3 momentin </w:t>
            </w:r>
            <w:r>
              <w:rPr>
                <w:lang w:val="fi-FI"/>
              </w:rPr>
              <w:t xml:space="preserve">ja </w:t>
            </w:r>
            <w:r w:rsidRPr="00881E10">
              <w:rPr>
                <w:szCs w:val="22"/>
                <w:lang w:val="fi-FI"/>
              </w:rPr>
              <w:t>Ruotsin osakeyhtiölain (SFS 2005:551) (“</w:t>
            </w:r>
            <w:r w:rsidRPr="00982A05">
              <w:rPr>
                <w:b/>
                <w:szCs w:val="22"/>
                <w:lang w:val="fi-FI"/>
              </w:rPr>
              <w:t>ROYL</w:t>
            </w:r>
            <w:r w:rsidRPr="00881E10">
              <w:rPr>
                <w:szCs w:val="22"/>
                <w:lang w:val="fi-FI"/>
              </w:rPr>
              <w:t>”) 23 luvun 39 §:n mukaisesti</w:t>
            </w:r>
            <w:r>
              <w:rPr>
                <w:szCs w:val="22"/>
                <w:lang w:val="fi-FI"/>
              </w:rPr>
              <w:t xml:space="preserve">, </w:t>
            </w:r>
            <w:r w:rsidRPr="00881E10">
              <w:rPr>
                <w:szCs w:val="22"/>
                <w:lang w:val="fi-FI"/>
              </w:rPr>
              <w:t xml:space="preserve">Nordea </w:t>
            </w:r>
            <w:r w:rsidR="00787583">
              <w:rPr>
                <w:szCs w:val="22"/>
                <w:lang w:val="fi-FI"/>
              </w:rPr>
              <w:t xml:space="preserve">Holding </w:t>
            </w:r>
            <w:r w:rsidRPr="00881E10">
              <w:rPr>
                <w:szCs w:val="22"/>
                <w:lang w:val="fi-FI"/>
              </w:rPr>
              <w:t>Oyj</w:t>
            </w:r>
            <w:r w:rsidR="004C2A0F">
              <w:rPr>
                <w:szCs w:val="22"/>
                <w:lang w:val="fi-FI"/>
              </w:rPr>
              <w:t>:n</w:t>
            </w:r>
            <w:r w:rsidRPr="00881E10">
              <w:rPr>
                <w:szCs w:val="22"/>
                <w:lang w:val="fi-FI"/>
              </w:rPr>
              <w:t xml:space="preserve"> (“</w:t>
            </w:r>
            <w:r w:rsidRPr="00982A05">
              <w:rPr>
                <w:b/>
                <w:szCs w:val="22"/>
                <w:lang w:val="fi-FI"/>
              </w:rPr>
              <w:t>Vastaanottava Yhtiö</w:t>
            </w:r>
            <w:r w:rsidRPr="00881E10">
              <w:rPr>
                <w:szCs w:val="22"/>
                <w:lang w:val="fi-FI"/>
              </w:rPr>
              <w:t>”) ja Nordea Bank AB</w:t>
            </w:r>
            <w:r w:rsidR="00F3361A">
              <w:rPr>
                <w:szCs w:val="22"/>
                <w:lang w:val="fi-FI"/>
              </w:rPr>
              <w:t>:n</w:t>
            </w:r>
            <w:r w:rsidRPr="00881E10">
              <w:rPr>
                <w:szCs w:val="22"/>
                <w:lang w:val="fi-FI"/>
              </w:rPr>
              <w:t xml:space="preserve"> (publ) (“</w:t>
            </w:r>
            <w:r w:rsidRPr="00982A05">
              <w:rPr>
                <w:b/>
                <w:szCs w:val="22"/>
                <w:lang w:val="fi-FI"/>
              </w:rPr>
              <w:t>Sulautuva Yhtiö</w:t>
            </w:r>
            <w:r w:rsidRPr="00881E10">
              <w:rPr>
                <w:szCs w:val="22"/>
                <w:lang w:val="fi-FI"/>
              </w:rPr>
              <w:t xml:space="preserve">”) välillä tehtäväksi ehdotetun rajat ylittävän </w:t>
            </w:r>
            <w:r w:rsidR="00A07E44">
              <w:rPr>
                <w:szCs w:val="22"/>
                <w:lang w:val="fi-FI"/>
              </w:rPr>
              <w:t xml:space="preserve">vastavirtaan toteutettavan </w:t>
            </w:r>
            <w:r w:rsidRPr="00881E10">
              <w:rPr>
                <w:szCs w:val="22"/>
                <w:lang w:val="fi-FI"/>
              </w:rPr>
              <w:t>sulautumisen johdosta</w:t>
            </w:r>
          </w:p>
        </w:tc>
      </w:tr>
      <w:tr w:rsidR="00D56D80" w:rsidRPr="00890B1B" w14:paraId="2B5DB1F7" w14:textId="77777777" w:rsidTr="00317950">
        <w:tc>
          <w:tcPr>
            <w:tcW w:w="258" w:type="pct"/>
          </w:tcPr>
          <w:p w14:paraId="6F9AC466" w14:textId="77777777" w:rsidR="007901CE" w:rsidRPr="00E84677" w:rsidRDefault="007901CE" w:rsidP="007901CE">
            <w:pPr>
              <w:pStyle w:val="Rubrik2"/>
              <w:keepNext w:val="0"/>
              <w:numPr>
                <w:ilvl w:val="0"/>
                <w:numId w:val="0"/>
              </w:numPr>
              <w:rPr>
                <w:rFonts w:asciiTheme="minorHAnsi" w:hAnsiTheme="minorHAnsi" w:cstheme="minorHAnsi"/>
                <w:b w:val="0"/>
                <w:sz w:val="22"/>
                <w:szCs w:val="22"/>
              </w:rPr>
            </w:pPr>
            <w:r>
              <w:rPr>
                <w:rFonts w:asciiTheme="minorHAnsi" w:hAnsiTheme="minorHAnsi" w:cstheme="minorHAnsi"/>
                <w:b w:val="0"/>
                <w:sz w:val="22"/>
                <w:szCs w:val="22"/>
                <w:lang w:val="en-GB"/>
              </w:rPr>
              <w:t>1.2</w:t>
            </w:r>
          </w:p>
        </w:tc>
        <w:tc>
          <w:tcPr>
            <w:tcW w:w="1341" w:type="pct"/>
          </w:tcPr>
          <w:p w14:paraId="1F6D61FC" w14:textId="6CBCA6C4" w:rsidR="007901CE" w:rsidRPr="00E84677" w:rsidRDefault="00D82325" w:rsidP="007901CE">
            <w:pPr>
              <w:pStyle w:val="Normalmedindrag"/>
              <w:tabs>
                <w:tab w:val="left" w:pos="3402"/>
              </w:tabs>
              <w:ind w:left="0"/>
            </w:pPr>
            <w:r w:rsidRPr="009E64A2">
              <w:t>Det Ö</w:t>
            </w:r>
            <w:r>
              <w:t>vertagande Bolaget och det Över</w:t>
            </w:r>
            <w:r w:rsidRPr="009E64A2">
              <w:t>låta</w:t>
            </w:r>
            <w:r>
              <w:t>nde Bolaget benämns nedan gemen</w:t>
            </w:r>
            <w:r w:rsidRPr="009E64A2">
              <w:t>samt de ”</w:t>
            </w:r>
            <w:r w:rsidRPr="009E64A2">
              <w:rPr>
                <w:b/>
              </w:rPr>
              <w:t>Fusionerande Bolagen</w:t>
            </w:r>
            <w:r w:rsidRPr="009E64A2">
              <w:t>”.</w:t>
            </w:r>
          </w:p>
        </w:tc>
        <w:tc>
          <w:tcPr>
            <w:tcW w:w="103" w:type="pct"/>
          </w:tcPr>
          <w:p w14:paraId="4254CDCC" w14:textId="77777777" w:rsidR="007901CE" w:rsidRPr="00E84677" w:rsidRDefault="007901CE" w:rsidP="007901CE">
            <w:pPr>
              <w:jc w:val="right"/>
            </w:pPr>
          </w:p>
        </w:tc>
        <w:tc>
          <w:tcPr>
            <w:tcW w:w="258" w:type="pct"/>
          </w:tcPr>
          <w:p w14:paraId="4A67EF5D" w14:textId="77777777" w:rsidR="007901CE" w:rsidRPr="00E84677" w:rsidRDefault="007901CE" w:rsidP="007901CE">
            <w:pPr>
              <w:rPr>
                <w:lang w:val="en-GB"/>
              </w:rPr>
            </w:pPr>
            <w:r>
              <w:rPr>
                <w:lang w:val="en-GB"/>
              </w:rPr>
              <w:t>1.2</w:t>
            </w:r>
          </w:p>
        </w:tc>
        <w:tc>
          <w:tcPr>
            <w:tcW w:w="1342" w:type="pct"/>
          </w:tcPr>
          <w:p w14:paraId="10569DFA" w14:textId="77777777" w:rsidR="007901CE" w:rsidRPr="00E84677" w:rsidRDefault="007901CE" w:rsidP="007901CE">
            <w:pPr>
              <w:rPr>
                <w:lang w:val="en-GB"/>
              </w:rPr>
            </w:pPr>
            <w:r w:rsidRPr="009E64A2">
              <w:rPr>
                <w:szCs w:val="22"/>
                <w:lang w:val="en-GB"/>
              </w:rPr>
              <w:t>The Transferee Company and the Trans</w:t>
            </w:r>
            <w:r w:rsidRPr="009E64A2">
              <w:rPr>
                <w:szCs w:val="22"/>
                <w:lang w:val="en-GB"/>
              </w:rPr>
              <w:softHyphen/>
              <w:t>feror Company are below jointly referred to as the “</w:t>
            </w:r>
            <w:r w:rsidRPr="009E64A2">
              <w:rPr>
                <w:b/>
                <w:szCs w:val="22"/>
                <w:lang w:val="en-GB"/>
              </w:rPr>
              <w:t>Merging Companies</w:t>
            </w:r>
            <w:r w:rsidRPr="009E64A2">
              <w:rPr>
                <w:szCs w:val="22"/>
                <w:lang w:val="en-GB"/>
              </w:rPr>
              <w:t>”.</w:t>
            </w:r>
          </w:p>
        </w:tc>
        <w:tc>
          <w:tcPr>
            <w:tcW w:w="103" w:type="pct"/>
          </w:tcPr>
          <w:p w14:paraId="65F73578" w14:textId="77777777" w:rsidR="007901CE" w:rsidRPr="00E84677" w:rsidRDefault="007901CE" w:rsidP="007901CE">
            <w:pPr>
              <w:rPr>
                <w:lang w:val="en-GB"/>
              </w:rPr>
            </w:pPr>
          </w:p>
        </w:tc>
        <w:tc>
          <w:tcPr>
            <w:tcW w:w="257" w:type="pct"/>
          </w:tcPr>
          <w:p w14:paraId="57CB1888" w14:textId="77777777" w:rsidR="007901CE" w:rsidRPr="00ED75F9" w:rsidRDefault="007901CE" w:rsidP="007901CE">
            <w:pPr>
              <w:rPr>
                <w:rFonts w:asciiTheme="minorHAnsi" w:hAnsiTheme="minorHAnsi" w:cstheme="minorHAnsi"/>
                <w:szCs w:val="22"/>
                <w:lang w:val="en-GB"/>
              </w:rPr>
            </w:pPr>
            <w:r>
              <w:rPr>
                <w:rFonts w:asciiTheme="minorHAnsi" w:hAnsiTheme="minorHAnsi" w:cstheme="minorHAnsi"/>
                <w:szCs w:val="22"/>
                <w:lang w:val="en-GB"/>
              </w:rPr>
              <w:t>1.2</w:t>
            </w:r>
          </w:p>
        </w:tc>
        <w:tc>
          <w:tcPr>
            <w:tcW w:w="1338" w:type="pct"/>
          </w:tcPr>
          <w:p w14:paraId="2578EE60" w14:textId="77777777" w:rsidR="007901CE" w:rsidRPr="00A87731" w:rsidRDefault="007901CE" w:rsidP="007901CE">
            <w:pPr>
              <w:rPr>
                <w:lang w:val="fi-FI"/>
              </w:rPr>
            </w:pPr>
            <w:r w:rsidRPr="00A87731">
              <w:rPr>
                <w:szCs w:val="22"/>
                <w:lang w:val="fi-FI"/>
              </w:rPr>
              <w:t>Jäljempänä Vastaanottavaan Yhtiöön ja Sulautuvaan Yhtiöön on yhdessä viitattu termillä “</w:t>
            </w:r>
            <w:r w:rsidRPr="00A87731">
              <w:rPr>
                <w:b/>
                <w:szCs w:val="22"/>
                <w:lang w:val="fi-FI"/>
              </w:rPr>
              <w:t>Sulautumiseen Osallistuvat Yhtiöt</w:t>
            </w:r>
            <w:r w:rsidRPr="00A87731">
              <w:rPr>
                <w:szCs w:val="22"/>
                <w:lang w:val="fi-FI"/>
              </w:rPr>
              <w:t>”</w:t>
            </w:r>
            <w:r>
              <w:rPr>
                <w:szCs w:val="22"/>
                <w:lang w:val="fi-FI"/>
              </w:rPr>
              <w:t>.</w:t>
            </w:r>
          </w:p>
        </w:tc>
      </w:tr>
      <w:tr w:rsidR="00D56D80" w:rsidRPr="00890B1B" w14:paraId="7AC8AD2A" w14:textId="77777777" w:rsidTr="00317950">
        <w:tc>
          <w:tcPr>
            <w:tcW w:w="258" w:type="pct"/>
          </w:tcPr>
          <w:p w14:paraId="44812972" w14:textId="77777777" w:rsidR="007901CE" w:rsidRPr="00E84677" w:rsidRDefault="007901CE" w:rsidP="007901CE">
            <w:pPr>
              <w:pStyle w:val="Rubrik2"/>
              <w:keepNext w:val="0"/>
              <w:numPr>
                <w:ilvl w:val="0"/>
                <w:numId w:val="0"/>
              </w:numPr>
              <w:rPr>
                <w:rFonts w:asciiTheme="minorHAnsi" w:hAnsiTheme="minorHAnsi" w:cstheme="minorHAnsi"/>
                <w:b w:val="0"/>
                <w:sz w:val="22"/>
                <w:szCs w:val="22"/>
              </w:rPr>
            </w:pPr>
            <w:r>
              <w:rPr>
                <w:rFonts w:asciiTheme="minorHAnsi" w:hAnsiTheme="minorHAnsi" w:cstheme="minorHAnsi"/>
                <w:b w:val="0"/>
                <w:sz w:val="22"/>
                <w:szCs w:val="22"/>
                <w:lang w:val="en-GB"/>
              </w:rPr>
              <w:t>1.3</w:t>
            </w:r>
          </w:p>
        </w:tc>
        <w:tc>
          <w:tcPr>
            <w:tcW w:w="1341" w:type="pct"/>
          </w:tcPr>
          <w:p w14:paraId="2A1FD6A7" w14:textId="7B8A61EC" w:rsidR="007901CE" w:rsidRPr="00E84677" w:rsidRDefault="00D82325" w:rsidP="00317950">
            <w:pPr>
              <w:pStyle w:val="Normalmedindrag"/>
              <w:tabs>
                <w:tab w:val="left" w:pos="3402"/>
              </w:tabs>
              <w:ind w:left="0"/>
            </w:pPr>
            <w:r w:rsidRPr="009E64A2">
              <w:t>Styrelserna i de Fusionerande Bolagen har upprättat och denna dag under</w:t>
            </w:r>
            <w:r w:rsidR="00317950">
              <w:softHyphen/>
            </w:r>
            <w:r w:rsidRPr="009E64A2">
              <w:t>tecknat en gemensam fusions</w:t>
            </w:r>
            <w:r w:rsidR="004364FB">
              <w:softHyphen/>
            </w:r>
            <w:r w:rsidRPr="009E64A2">
              <w:t>plan (”</w:t>
            </w:r>
            <w:r w:rsidRPr="009E64A2">
              <w:rPr>
                <w:b/>
              </w:rPr>
              <w:t>Fusionsplanen</w:t>
            </w:r>
            <w:r>
              <w:t>”). I </w:t>
            </w:r>
            <w:r w:rsidRPr="009E64A2">
              <w:t xml:space="preserve">enlighet med vad som närmare beskrivs i Fusionsplanen </w:t>
            </w:r>
            <w:r w:rsidR="00223050">
              <w:t xml:space="preserve">ska det Övertagande Bolaget överta det Överlåtande Bolagets tillgångar och skulder genom en gränsöverskridande </w:t>
            </w:r>
            <w:r w:rsidR="00057018">
              <w:lastRenderedPageBreak/>
              <w:t xml:space="preserve">omvänd fusion </w:t>
            </w:r>
            <w:r w:rsidR="007048FD">
              <w:t>i form av absorption (”</w:t>
            </w:r>
            <w:r w:rsidR="007048FD">
              <w:rPr>
                <w:b/>
              </w:rPr>
              <w:t>Fusionen</w:t>
            </w:r>
            <w:r w:rsidR="007048FD">
              <w:t xml:space="preserve">”) enligt bestämmelserna i 16 kap. 19–28 §§ </w:t>
            </w:r>
            <w:r w:rsidR="007F25A7">
              <w:t xml:space="preserve">FABL </w:t>
            </w:r>
            <w:r w:rsidR="007048FD">
              <w:t>(</w:t>
            </w:r>
            <w:r w:rsidR="004364FB">
              <w:t xml:space="preserve">med vidare hänvisningar) och, i </w:t>
            </w:r>
            <w:r w:rsidR="007048FD">
              <w:t>tillämp</w:t>
            </w:r>
            <w:r w:rsidR="004364FB">
              <w:softHyphen/>
            </w:r>
            <w:r w:rsidR="007048FD">
              <w:t>liga delar, 2 kap. finska lagen om affärsbanker och andra kreditinstitut i aktiebolags</w:t>
            </w:r>
            <w:r w:rsidR="00317950">
              <w:softHyphen/>
            </w:r>
            <w:r w:rsidR="007048FD">
              <w:t>form (28.12.2001/1501) (”</w:t>
            </w:r>
            <w:r w:rsidR="001C58E2" w:rsidRPr="001C58E2">
              <w:rPr>
                <w:b/>
              </w:rPr>
              <w:t>a</w:t>
            </w:r>
            <w:r w:rsidR="007048FD">
              <w:rPr>
                <w:b/>
              </w:rPr>
              <w:t>ffärs</w:t>
            </w:r>
            <w:r w:rsidR="00317950">
              <w:rPr>
                <w:b/>
              </w:rPr>
              <w:softHyphen/>
            </w:r>
            <w:r w:rsidR="007048FD">
              <w:rPr>
                <w:b/>
              </w:rPr>
              <w:t>bankslagen</w:t>
            </w:r>
            <w:r w:rsidR="007048FD">
              <w:t>”) (med vidare hänvis</w:t>
            </w:r>
            <w:r w:rsidR="00317950">
              <w:softHyphen/>
            </w:r>
            <w:r w:rsidR="007048FD">
              <w:t>ningar) samt 23 kap. 36 §</w:t>
            </w:r>
            <w:r w:rsidR="00B50BB8">
              <w:t xml:space="preserve"> SABL</w:t>
            </w:r>
            <w:r w:rsidR="007048FD">
              <w:t xml:space="preserve"> (med vidare hänvis</w:t>
            </w:r>
            <w:r w:rsidR="00317950">
              <w:softHyphen/>
            </w:r>
            <w:r w:rsidR="007048FD">
              <w:t xml:space="preserve">ningar) och 10 kap. 18–25 b §§ </w:t>
            </w:r>
            <w:r w:rsidR="0004349A">
              <w:t xml:space="preserve">svenska </w:t>
            </w:r>
            <w:r w:rsidR="007048FD">
              <w:t>lagen (2004:297) om bank- och finansieringsrörelse.</w:t>
            </w:r>
          </w:p>
        </w:tc>
        <w:tc>
          <w:tcPr>
            <w:tcW w:w="103" w:type="pct"/>
          </w:tcPr>
          <w:p w14:paraId="227A8F26" w14:textId="77777777" w:rsidR="007901CE" w:rsidRPr="00E84677" w:rsidRDefault="007901CE" w:rsidP="007901CE">
            <w:pPr>
              <w:jc w:val="right"/>
            </w:pPr>
          </w:p>
        </w:tc>
        <w:tc>
          <w:tcPr>
            <w:tcW w:w="258" w:type="pct"/>
          </w:tcPr>
          <w:p w14:paraId="52D26D69" w14:textId="77777777" w:rsidR="007901CE" w:rsidRPr="00E84677" w:rsidRDefault="007901CE" w:rsidP="007901CE">
            <w:pPr>
              <w:rPr>
                <w:lang w:val="en-GB"/>
              </w:rPr>
            </w:pPr>
            <w:r>
              <w:rPr>
                <w:lang w:val="en-GB"/>
              </w:rPr>
              <w:t>1.3</w:t>
            </w:r>
          </w:p>
        </w:tc>
        <w:tc>
          <w:tcPr>
            <w:tcW w:w="1342" w:type="pct"/>
          </w:tcPr>
          <w:p w14:paraId="6DBC2F5B" w14:textId="44934D44" w:rsidR="007901CE" w:rsidRPr="00E84677" w:rsidRDefault="007901CE" w:rsidP="009317D8">
            <w:pPr>
              <w:rPr>
                <w:lang w:val="en-GB"/>
              </w:rPr>
            </w:pPr>
            <w:r w:rsidRPr="009E64A2">
              <w:rPr>
                <w:szCs w:val="22"/>
                <w:lang w:val="en-GB"/>
              </w:rPr>
              <w:t>The boards of directors of the Merging Companies have prepared and this day signed a joint merger plan (the “</w:t>
            </w:r>
            <w:r w:rsidRPr="009E64A2">
              <w:rPr>
                <w:b/>
                <w:szCs w:val="22"/>
                <w:lang w:val="en-GB"/>
              </w:rPr>
              <w:t>Merger Plan</w:t>
            </w:r>
            <w:r w:rsidRPr="009E64A2">
              <w:rPr>
                <w:szCs w:val="22"/>
                <w:lang w:val="en-GB"/>
              </w:rPr>
              <w:t xml:space="preserve">”). As further detailed in the Merger Plan, </w:t>
            </w:r>
            <w:r w:rsidR="00D51973" w:rsidRPr="00371B8C">
              <w:rPr>
                <w:lang w:val="en-GB"/>
              </w:rPr>
              <w:t xml:space="preserve">the assets and liabilities of the Transferor Company shall be transferred to the </w:t>
            </w:r>
            <w:r w:rsidR="00D51973">
              <w:rPr>
                <w:lang w:val="en-GB"/>
              </w:rPr>
              <w:t xml:space="preserve">Transferee Company through a cross-border </w:t>
            </w:r>
            <w:r w:rsidR="003F0BD5">
              <w:rPr>
                <w:lang w:val="en-GB"/>
              </w:rPr>
              <w:lastRenderedPageBreak/>
              <w:t xml:space="preserve">reversed </w:t>
            </w:r>
            <w:r w:rsidR="00D51973">
              <w:rPr>
                <w:lang w:val="en-GB"/>
              </w:rPr>
              <w:t>merger by way of absorption (the “</w:t>
            </w:r>
            <w:r w:rsidR="00D51973">
              <w:rPr>
                <w:b/>
                <w:lang w:val="en-GB"/>
              </w:rPr>
              <w:t>Merger</w:t>
            </w:r>
            <w:r w:rsidR="00D51973">
              <w:rPr>
                <w:lang w:val="en-GB"/>
              </w:rPr>
              <w:t xml:space="preserve">”) </w:t>
            </w:r>
            <w:r w:rsidR="00903D4C">
              <w:rPr>
                <w:lang w:val="en-GB"/>
              </w:rPr>
              <w:t xml:space="preserve">pursuant to the provisions of </w:t>
            </w:r>
            <w:r w:rsidR="00903D4C" w:rsidRPr="00B12F91">
              <w:rPr>
                <w:lang w:val="en-GB"/>
              </w:rPr>
              <w:t xml:space="preserve">Chapter 16, Sections 19–28 the </w:t>
            </w:r>
            <w:r w:rsidR="00903D4C" w:rsidRPr="00982A05">
              <w:rPr>
                <w:lang w:val="en-GB"/>
              </w:rPr>
              <w:t>FCA</w:t>
            </w:r>
            <w:r w:rsidR="00903D4C" w:rsidRPr="00B12F91">
              <w:rPr>
                <w:lang w:val="en-GB"/>
              </w:rPr>
              <w:t xml:space="preserve"> (with further references) and, as applicable,</w:t>
            </w:r>
            <w:r w:rsidR="009317D8">
              <w:rPr>
                <w:lang w:val="en-GB"/>
              </w:rPr>
              <w:t xml:space="preserve"> </w:t>
            </w:r>
            <w:r w:rsidR="009317D8" w:rsidRPr="00B12F91">
              <w:rPr>
                <w:lang w:val="en-GB"/>
              </w:rPr>
              <w:t>Chapter 2</w:t>
            </w:r>
            <w:r w:rsidR="00903D4C" w:rsidRPr="00B12F91">
              <w:rPr>
                <w:lang w:val="en-GB"/>
              </w:rPr>
              <w:t xml:space="preserve"> of the Finnish Act on Commercial Banks and Other Credit Institutions in the Form of a Limited Company (28.12.2001/1501) (the “</w:t>
            </w:r>
            <w:r w:rsidR="00903D4C" w:rsidRPr="00880C17">
              <w:rPr>
                <w:b/>
                <w:lang w:val="en-GB"/>
              </w:rPr>
              <w:t>Commercial Banking</w:t>
            </w:r>
            <w:r w:rsidR="00903D4C" w:rsidRPr="00B12F91">
              <w:rPr>
                <w:lang w:val="en-GB"/>
              </w:rPr>
              <w:t xml:space="preserve"> </w:t>
            </w:r>
            <w:r w:rsidR="00903D4C" w:rsidRPr="004C0983">
              <w:rPr>
                <w:b/>
                <w:lang w:val="en-GB"/>
              </w:rPr>
              <w:t>Act</w:t>
            </w:r>
            <w:r w:rsidR="00903D4C" w:rsidRPr="00B12F91">
              <w:rPr>
                <w:lang w:val="en-GB"/>
              </w:rPr>
              <w:t>”) (with further references)</w:t>
            </w:r>
            <w:r w:rsidR="00903D4C">
              <w:rPr>
                <w:lang w:val="en-GB"/>
              </w:rPr>
              <w:t xml:space="preserve"> as well as Chapter 23, Section 36</w:t>
            </w:r>
            <w:r w:rsidR="00903D4C" w:rsidRPr="00B12F91">
              <w:rPr>
                <w:lang w:val="en-GB"/>
              </w:rPr>
              <w:t xml:space="preserve"> of the </w:t>
            </w:r>
            <w:r w:rsidR="00903D4C" w:rsidRPr="00982A05">
              <w:rPr>
                <w:lang w:val="en-GB"/>
              </w:rPr>
              <w:t>SCA</w:t>
            </w:r>
            <w:r w:rsidR="00903D4C" w:rsidRPr="00B12F91">
              <w:rPr>
                <w:lang w:val="en-GB"/>
              </w:rPr>
              <w:t xml:space="preserve"> (with further references) and Chapter 10, Sections 18</w:t>
            </w:r>
            <w:r w:rsidR="00903D4C">
              <w:rPr>
                <w:lang w:val="en-GB"/>
              </w:rPr>
              <w:t>–2</w:t>
            </w:r>
            <w:r w:rsidR="00903D4C" w:rsidRPr="00B12F91">
              <w:rPr>
                <w:lang w:val="en-GB"/>
              </w:rPr>
              <w:t>5</w:t>
            </w:r>
            <w:r w:rsidR="00903D4C">
              <w:rPr>
                <w:lang w:val="en-GB"/>
              </w:rPr>
              <w:t> </w:t>
            </w:r>
            <w:r w:rsidR="00903D4C" w:rsidRPr="00B12F91">
              <w:rPr>
                <w:lang w:val="en-GB"/>
              </w:rPr>
              <w:t>b of the Swedish Banking and Financing Business Act (SFS 2004:297)</w:t>
            </w:r>
            <w:r w:rsidR="00903D4C">
              <w:rPr>
                <w:lang w:val="en-GB"/>
              </w:rPr>
              <w:t>.</w:t>
            </w:r>
          </w:p>
        </w:tc>
        <w:tc>
          <w:tcPr>
            <w:tcW w:w="103" w:type="pct"/>
          </w:tcPr>
          <w:p w14:paraId="6771AA92" w14:textId="77777777" w:rsidR="007901CE" w:rsidRPr="00E84677" w:rsidRDefault="007901CE" w:rsidP="007901CE">
            <w:pPr>
              <w:rPr>
                <w:lang w:val="en-GB"/>
              </w:rPr>
            </w:pPr>
          </w:p>
        </w:tc>
        <w:tc>
          <w:tcPr>
            <w:tcW w:w="257" w:type="pct"/>
          </w:tcPr>
          <w:p w14:paraId="0EA98E44" w14:textId="77777777" w:rsidR="007901CE" w:rsidRPr="00ED75F9" w:rsidRDefault="007901CE" w:rsidP="007901CE">
            <w:pPr>
              <w:rPr>
                <w:rFonts w:asciiTheme="minorHAnsi" w:hAnsiTheme="minorHAnsi" w:cstheme="minorHAnsi"/>
                <w:szCs w:val="22"/>
                <w:lang w:val="en-GB"/>
              </w:rPr>
            </w:pPr>
            <w:r>
              <w:rPr>
                <w:rFonts w:asciiTheme="minorHAnsi" w:hAnsiTheme="minorHAnsi" w:cstheme="minorHAnsi"/>
                <w:szCs w:val="22"/>
                <w:lang w:val="en-GB"/>
              </w:rPr>
              <w:t>1.3</w:t>
            </w:r>
          </w:p>
        </w:tc>
        <w:tc>
          <w:tcPr>
            <w:tcW w:w="1338" w:type="pct"/>
          </w:tcPr>
          <w:p w14:paraId="19C37769" w14:textId="3B2BD6E3" w:rsidR="007901CE" w:rsidRPr="002702D1" w:rsidRDefault="007901CE" w:rsidP="000442E7">
            <w:pPr>
              <w:rPr>
                <w:lang w:val="fi-FI"/>
              </w:rPr>
            </w:pPr>
            <w:r w:rsidRPr="00A87731">
              <w:rPr>
                <w:szCs w:val="22"/>
                <w:lang w:val="fi-FI"/>
              </w:rPr>
              <w:t>Sulautumiseen Osallistuv</w:t>
            </w:r>
            <w:r>
              <w:rPr>
                <w:szCs w:val="22"/>
                <w:lang w:val="fi-FI"/>
              </w:rPr>
              <w:t xml:space="preserve">ien </w:t>
            </w:r>
            <w:r w:rsidRPr="00A87731">
              <w:rPr>
                <w:szCs w:val="22"/>
                <w:lang w:val="fi-FI"/>
              </w:rPr>
              <w:t>Yhtiö</w:t>
            </w:r>
            <w:r>
              <w:rPr>
                <w:szCs w:val="22"/>
                <w:lang w:val="fi-FI"/>
              </w:rPr>
              <w:t>iden hallitukset ovat laatineet ja tänään allekirjoittaneet yhteisen sulautumissuunnitelman (”</w:t>
            </w:r>
            <w:r w:rsidRPr="00A87731">
              <w:rPr>
                <w:b/>
                <w:szCs w:val="22"/>
                <w:lang w:val="fi-FI"/>
              </w:rPr>
              <w:t>Sulautumissuunnitelma</w:t>
            </w:r>
            <w:r>
              <w:rPr>
                <w:szCs w:val="22"/>
                <w:lang w:val="fi-FI"/>
              </w:rPr>
              <w:t xml:space="preserve">”). </w:t>
            </w:r>
            <w:r w:rsidRPr="00A87731">
              <w:rPr>
                <w:szCs w:val="22"/>
                <w:lang w:val="fi-FI"/>
              </w:rPr>
              <w:t xml:space="preserve">Siten kuin </w:t>
            </w:r>
            <w:r>
              <w:rPr>
                <w:szCs w:val="22"/>
                <w:lang w:val="fi-FI"/>
              </w:rPr>
              <w:t>S</w:t>
            </w:r>
            <w:r w:rsidRPr="00A87731">
              <w:rPr>
                <w:szCs w:val="22"/>
                <w:lang w:val="fi-FI"/>
              </w:rPr>
              <w:t xml:space="preserve">ulautumissuunnitelmassa on tarkemmin esitetty, Sulautuvan Yhtiön varat ja velat siirtyvät Vastaanottavalle </w:t>
            </w:r>
            <w:r w:rsidRPr="00A87731">
              <w:rPr>
                <w:szCs w:val="22"/>
                <w:lang w:val="fi-FI"/>
              </w:rPr>
              <w:lastRenderedPageBreak/>
              <w:t xml:space="preserve">Yhtiölle rajat ylittävällä </w:t>
            </w:r>
            <w:r w:rsidR="00881E10">
              <w:rPr>
                <w:szCs w:val="22"/>
                <w:lang w:val="fi-FI"/>
              </w:rPr>
              <w:t xml:space="preserve">vastavirtaan toteutettavalla </w:t>
            </w:r>
            <w:r w:rsidRPr="00A87731">
              <w:rPr>
                <w:szCs w:val="22"/>
                <w:lang w:val="fi-FI"/>
              </w:rPr>
              <w:t>absorptio</w:t>
            </w:r>
            <w:r w:rsidR="004364FB">
              <w:rPr>
                <w:szCs w:val="22"/>
                <w:lang w:val="fi-FI"/>
              </w:rPr>
              <w:softHyphen/>
            </w:r>
            <w:r w:rsidRPr="00A87731">
              <w:rPr>
                <w:szCs w:val="22"/>
                <w:lang w:val="fi-FI"/>
              </w:rPr>
              <w:t>sulautumisella (“</w:t>
            </w:r>
            <w:r w:rsidRPr="002702D1">
              <w:rPr>
                <w:b/>
                <w:szCs w:val="22"/>
                <w:lang w:val="fi-FI"/>
              </w:rPr>
              <w:t>Sulautuminen</w:t>
            </w:r>
            <w:r w:rsidRPr="00A87731">
              <w:rPr>
                <w:szCs w:val="22"/>
                <w:lang w:val="fi-FI"/>
              </w:rPr>
              <w:t xml:space="preserve">”), joka toteutetaan seuraavien säädösten mukaisesti: </w:t>
            </w:r>
            <w:r w:rsidR="0015597D" w:rsidRPr="0015597D">
              <w:rPr>
                <w:szCs w:val="22"/>
                <w:lang w:val="fi-FI"/>
              </w:rPr>
              <w:t>SOYL:n 16 luvun 19–28 §:t (viittauksineen) ja</w:t>
            </w:r>
            <w:r w:rsidR="00105280">
              <w:rPr>
                <w:szCs w:val="22"/>
                <w:lang w:val="fi-FI"/>
              </w:rPr>
              <w:t xml:space="preserve"> </w:t>
            </w:r>
            <w:r w:rsidR="001C0836">
              <w:rPr>
                <w:szCs w:val="22"/>
                <w:lang w:val="fi-FI"/>
              </w:rPr>
              <w:t>Suomen</w:t>
            </w:r>
            <w:r w:rsidR="0015597D" w:rsidRPr="0015597D">
              <w:rPr>
                <w:szCs w:val="22"/>
                <w:lang w:val="fi-FI"/>
              </w:rPr>
              <w:t xml:space="preserve"> liikepankeista ja muista osakeyhtiömuotoisista luottolaitoksista annetun lain (28.12.2001/1501)</w:t>
            </w:r>
            <w:r w:rsidR="009F16AC">
              <w:rPr>
                <w:szCs w:val="22"/>
                <w:lang w:val="fi-FI"/>
              </w:rPr>
              <w:t xml:space="preserve"> </w:t>
            </w:r>
            <w:r w:rsidR="001C0836">
              <w:rPr>
                <w:szCs w:val="22"/>
                <w:lang w:val="fi-FI"/>
              </w:rPr>
              <w:t>(</w:t>
            </w:r>
            <w:r w:rsidR="001C0836" w:rsidRPr="0088172B">
              <w:rPr>
                <w:szCs w:val="22"/>
                <w:lang w:val="fi-FI"/>
              </w:rPr>
              <w:t>”</w:t>
            </w:r>
            <w:r w:rsidR="001C0836" w:rsidRPr="0088172B">
              <w:rPr>
                <w:b/>
                <w:szCs w:val="22"/>
                <w:lang w:val="fi-FI"/>
              </w:rPr>
              <w:t>Liike</w:t>
            </w:r>
            <w:r w:rsidR="004364FB">
              <w:rPr>
                <w:b/>
                <w:szCs w:val="22"/>
                <w:lang w:val="fi-FI"/>
              </w:rPr>
              <w:softHyphen/>
            </w:r>
            <w:r w:rsidR="001C0836" w:rsidRPr="0088172B">
              <w:rPr>
                <w:b/>
                <w:szCs w:val="22"/>
                <w:lang w:val="fi-FI"/>
              </w:rPr>
              <w:t>pankkilaki</w:t>
            </w:r>
            <w:r w:rsidR="001C0836" w:rsidRPr="0088172B">
              <w:rPr>
                <w:szCs w:val="22"/>
                <w:lang w:val="fi-FI"/>
              </w:rPr>
              <w:t>”</w:t>
            </w:r>
            <w:r w:rsidR="001C0836">
              <w:rPr>
                <w:szCs w:val="22"/>
                <w:lang w:val="fi-FI"/>
              </w:rPr>
              <w:t>)</w:t>
            </w:r>
            <w:r w:rsidR="0015597D" w:rsidRPr="0015597D">
              <w:rPr>
                <w:szCs w:val="22"/>
                <w:lang w:val="fi-FI"/>
              </w:rPr>
              <w:t xml:space="preserve"> 2 luku soveltuvin osin (viittauksineen)</w:t>
            </w:r>
            <w:r w:rsidR="0015597D">
              <w:rPr>
                <w:szCs w:val="22"/>
                <w:lang w:val="fi-FI"/>
              </w:rPr>
              <w:t xml:space="preserve"> sekä </w:t>
            </w:r>
            <w:r w:rsidR="0015597D" w:rsidRPr="0015597D">
              <w:rPr>
                <w:szCs w:val="22"/>
                <w:lang w:val="fi-FI"/>
              </w:rPr>
              <w:t xml:space="preserve">ROYL 23 luvun </w:t>
            </w:r>
            <w:r w:rsidR="0028171E">
              <w:rPr>
                <w:szCs w:val="22"/>
                <w:lang w:val="fi-FI"/>
              </w:rPr>
              <w:t>36</w:t>
            </w:r>
            <w:r w:rsidR="0028171E" w:rsidRPr="0015597D">
              <w:rPr>
                <w:szCs w:val="22"/>
                <w:lang w:val="fi-FI"/>
              </w:rPr>
              <w:t xml:space="preserve"> </w:t>
            </w:r>
            <w:r w:rsidR="0015597D" w:rsidRPr="0015597D">
              <w:rPr>
                <w:szCs w:val="22"/>
                <w:lang w:val="fi-FI"/>
              </w:rPr>
              <w:t>§ (viittauksineen) ja Ruotsin pankki- ja rahoitustoiminnasta annetun lain (SFS 2004:297) 10 luvun 18–25 b §:t</w:t>
            </w:r>
            <w:r w:rsidR="0015597D">
              <w:rPr>
                <w:szCs w:val="22"/>
                <w:lang w:val="fi-FI"/>
              </w:rPr>
              <w:t>.</w:t>
            </w:r>
          </w:p>
        </w:tc>
      </w:tr>
      <w:tr w:rsidR="00D56D80" w:rsidRPr="00890B1B" w14:paraId="0129378B" w14:textId="28D9BAB2" w:rsidTr="00317950">
        <w:tc>
          <w:tcPr>
            <w:tcW w:w="258" w:type="pct"/>
          </w:tcPr>
          <w:p w14:paraId="7FA82308" w14:textId="6D99F378" w:rsidR="007901CE" w:rsidRPr="0042434D" w:rsidRDefault="007901CE" w:rsidP="007901CE">
            <w:pPr>
              <w:pStyle w:val="Rubrik2"/>
              <w:keepNext w:val="0"/>
              <w:numPr>
                <w:ilvl w:val="0"/>
                <w:numId w:val="0"/>
              </w:numPr>
              <w:rPr>
                <w:rFonts w:asciiTheme="minorHAnsi" w:hAnsiTheme="minorHAnsi" w:cstheme="minorHAnsi"/>
                <w:b w:val="0"/>
                <w:sz w:val="22"/>
                <w:szCs w:val="22"/>
              </w:rPr>
            </w:pPr>
            <w:r w:rsidRPr="0042434D">
              <w:rPr>
                <w:rFonts w:asciiTheme="minorHAnsi" w:hAnsiTheme="minorHAnsi" w:cstheme="minorHAnsi"/>
                <w:b w:val="0"/>
                <w:bCs w:val="0"/>
                <w:sz w:val="22"/>
                <w:szCs w:val="22"/>
                <w:lang w:val="en-GB"/>
              </w:rPr>
              <w:lastRenderedPageBreak/>
              <w:t>1.4</w:t>
            </w:r>
          </w:p>
        </w:tc>
        <w:tc>
          <w:tcPr>
            <w:tcW w:w="1341" w:type="pct"/>
          </w:tcPr>
          <w:p w14:paraId="7054F6FE" w14:textId="09CE984C" w:rsidR="007901CE" w:rsidRPr="00F41381" w:rsidRDefault="00D82325" w:rsidP="00EC3994">
            <w:pPr>
              <w:pStyle w:val="Normalmedindrag"/>
              <w:tabs>
                <w:tab w:val="left" w:pos="3402"/>
              </w:tabs>
              <w:ind w:left="0"/>
            </w:pPr>
            <w:r w:rsidRPr="00F41381">
              <w:rPr>
                <w:rFonts w:asciiTheme="minorHAnsi" w:hAnsiTheme="minorHAnsi" w:cstheme="minorHAnsi"/>
                <w:szCs w:val="22"/>
              </w:rPr>
              <w:t>Det sammanslagna bolaget efter Fusionen benämns nedan det ”</w:t>
            </w:r>
            <w:r w:rsidRPr="00F41381">
              <w:rPr>
                <w:rFonts w:asciiTheme="minorHAnsi" w:hAnsiTheme="minorHAnsi" w:cstheme="minorHAnsi"/>
                <w:b/>
                <w:szCs w:val="22"/>
              </w:rPr>
              <w:t>Fusionerade Bolaget</w:t>
            </w:r>
            <w:r w:rsidRPr="00F41381">
              <w:rPr>
                <w:rFonts w:asciiTheme="minorHAnsi" w:hAnsiTheme="minorHAnsi" w:cstheme="minorHAnsi"/>
                <w:szCs w:val="22"/>
              </w:rPr>
              <w:t>”.</w:t>
            </w:r>
          </w:p>
        </w:tc>
        <w:tc>
          <w:tcPr>
            <w:tcW w:w="103" w:type="pct"/>
          </w:tcPr>
          <w:p w14:paraId="06946FAE" w14:textId="7C2AB1DF" w:rsidR="007901CE" w:rsidRPr="00F41381" w:rsidRDefault="007901CE" w:rsidP="007901CE">
            <w:pPr>
              <w:jc w:val="right"/>
            </w:pPr>
          </w:p>
        </w:tc>
        <w:tc>
          <w:tcPr>
            <w:tcW w:w="258" w:type="pct"/>
          </w:tcPr>
          <w:p w14:paraId="078D0E00" w14:textId="71255ACB" w:rsidR="007901CE" w:rsidRPr="00F41381" w:rsidRDefault="007901CE" w:rsidP="007901CE">
            <w:pPr>
              <w:rPr>
                <w:lang w:val="en-GB"/>
              </w:rPr>
            </w:pPr>
            <w:r w:rsidRPr="00F41381">
              <w:rPr>
                <w:lang w:val="en-GB"/>
              </w:rPr>
              <w:t>1.4</w:t>
            </w:r>
          </w:p>
        </w:tc>
        <w:tc>
          <w:tcPr>
            <w:tcW w:w="1342" w:type="pct"/>
          </w:tcPr>
          <w:p w14:paraId="495EDAC9" w14:textId="0BEEBBD7" w:rsidR="007901CE" w:rsidRPr="00F41381" w:rsidRDefault="00EC3994" w:rsidP="002021A3">
            <w:pPr>
              <w:rPr>
                <w:lang w:val="en-GB"/>
              </w:rPr>
            </w:pPr>
            <w:r>
              <w:rPr>
                <w:lang w:val="en-GB"/>
              </w:rPr>
              <w:t>T</w:t>
            </w:r>
            <w:r w:rsidR="007553E5">
              <w:rPr>
                <w:lang w:val="en-GB"/>
              </w:rPr>
              <w:t xml:space="preserve">he </w:t>
            </w:r>
            <w:r w:rsidR="002021A3">
              <w:rPr>
                <w:lang w:val="en-GB"/>
              </w:rPr>
              <w:t>merged c</w:t>
            </w:r>
            <w:r w:rsidR="007553E5">
              <w:rPr>
                <w:lang w:val="en-GB"/>
              </w:rPr>
              <w:t>ompany</w:t>
            </w:r>
            <w:r w:rsidR="007901CE" w:rsidRPr="00F41381">
              <w:rPr>
                <w:lang w:val="en-GB"/>
              </w:rPr>
              <w:t xml:space="preserve"> </w:t>
            </w:r>
            <w:r>
              <w:rPr>
                <w:lang w:val="en-GB"/>
              </w:rPr>
              <w:t xml:space="preserve">following the Merger </w:t>
            </w:r>
            <w:r w:rsidR="007901CE" w:rsidRPr="00F41381">
              <w:rPr>
                <w:lang w:val="en-GB"/>
              </w:rPr>
              <w:t>is below referred to as the “</w:t>
            </w:r>
            <w:r w:rsidR="007901CE" w:rsidRPr="00F41381">
              <w:rPr>
                <w:b/>
                <w:lang w:val="en-GB"/>
              </w:rPr>
              <w:t>Merged Company</w:t>
            </w:r>
            <w:r w:rsidR="007901CE" w:rsidRPr="00F41381">
              <w:rPr>
                <w:lang w:val="en-GB"/>
              </w:rPr>
              <w:t>”.</w:t>
            </w:r>
          </w:p>
        </w:tc>
        <w:tc>
          <w:tcPr>
            <w:tcW w:w="103" w:type="pct"/>
          </w:tcPr>
          <w:p w14:paraId="56FC211E" w14:textId="2B2F7F25" w:rsidR="007901CE" w:rsidRPr="00F41381" w:rsidRDefault="007901CE" w:rsidP="007901CE">
            <w:pPr>
              <w:rPr>
                <w:lang w:val="en-GB"/>
              </w:rPr>
            </w:pPr>
          </w:p>
        </w:tc>
        <w:tc>
          <w:tcPr>
            <w:tcW w:w="257" w:type="pct"/>
          </w:tcPr>
          <w:p w14:paraId="218F5C69" w14:textId="64BE103E" w:rsidR="007901CE" w:rsidRPr="00F41381" w:rsidRDefault="007901CE" w:rsidP="007901CE">
            <w:pPr>
              <w:rPr>
                <w:rFonts w:asciiTheme="minorHAnsi" w:hAnsiTheme="minorHAnsi" w:cstheme="minorHAnsi"/>
                <w:szCs w:val="22"/>
                <w:lang w:val="en-GB"/>
              </w:rPr>
            </w:pPr>
            <w:r w:rsidRPr="00F41381">
              <w:rPr>
                <w:rFonts w:asciiTheme="minorHAnsi" w:hAnsiTheme="minorHAnsi" w:cstheme="minorHAnsi"/>
                <w:szCs w:val="22"/>
                <w:lang w:val="en-GB"/>
              </w:rPr>
              <w:t>1.4</w:t>
            </w:r>
          </w:p>
        </w:tc>
        <w:tc>
          <w:tcPr>
            <w:tcW w:w="1338" w:type="pct"/>
          </w:tcPr>
          <w:p w14:paraId="13D8D9D3" w14:textId="60A8EC56" w:rsidR="007901CE" w:rsidRPr="002702D1" w:rsidRDefault="007901CE" w:rsidP="007553E5">
            <w:pPr>
              <w:rPr>
                <w:lang w:val="fi-FI"/>
              </w:rPr>
            </w:pPr>
            <w:r w:rsidRPr="002702D1">
              <w:rPr>
                <w:lang w:val="fi-FI"/>
              </w:rPr>
              <w:t xml:space="preserve">Sulautumisen </w:t>
            </w:r>
            <w:r w:rsidR="00FE7106">
              <w:rPr>
                <w:lang w:val="fi-FI"/>
              </w:rPr>
              <w:t>jälkeisestä</w:t>
            </w:r>
            <w:r w:rsidR="007553E5">
              <w:rPr>
                <w:lang w:val="fi-FI"/>
              </w:rPr>
              <w:t xml:space="preserve"> </w:t>
            </w:r>
            <w:r w:rsidR="00E3154C">
              <w:rPr>
                <w:lang w:val="fi-FI"/>
              </w:rPr>
              <w:t>yhdistyneestä y</w:t>
            </w:r>
            <w:r w:rsidRPr="002702D1">
              <w:rPr>
                <w:lang w:val="fi-FI"/>
              </w:rPr>
              <w:t>htiöstä käytetään jäljempänä nimitystä ”</w:t>
            </w:r>
            <w:r w:rsidRPr="002702D1">
              <w:rPr>
                <w:b/>
                <w:lang w:val="fi-FI"/>
              </w:rPr>
              <w:t>Sulautunut Yhtiö</w:t>
            </w:r>
            <w:r w:rsidRPr="002702D1">
              <w:rPr>
                <w:lang w:val="fi-FI"/>
              </w:rPr>
              <w:t>”</w:t>
            </w:r>
            <w:r>
              <w:rPr>
                <w:lang w:val="fi-FI"/>
              </w:rPr>
              <w:t>.</w:t>
            </w:r>
          </w:p>
        </w:tc>
      </w:tr>
      <w:tr w:rsidR="00D56D80" w:rsidRPr="001B762D" w14:paraId="2CC94D38" w14:textId="77777777" w:rsidTr="00317950">
        <w:tc>
          <w:tcPr>
            <w:tcW w:w="258" w:type="pct"/>
          </w:tcPr>
          <w:p w14:paraId="25447257" w14:textId="77777777" w:rsidR="007901CE" w:rsidRDefault="007901CE" w:rsidP="004364FB">
            <w:pPr>
              <w:keepNext/>
              <w:spacing w:after="60"/>
              <w:rPr>
                <w:rFonts w:asciiTheme="minorHAnsi" w:hAnsiTheme="minorHAnsi" w:cstheme="minorHAnsi"/>
                <w:b/>
                <w:szCs w:val="22"/>
              </w:rPr>
            </w:pPr>
            <w:r>
              <w:rPr>
                <w:rFonts w:asciiTheme="majorHAnsi" w:hAnsiTheme="majorHAnsi" w:cstheme="majorHAnsi"/>
                <w:b/>
                <w:szCs w:val="22"/>
              </w:rPr>
              <w:t>2.</w:t>
            </w:r>
          </w:p>
        </w:tc>
        <w:tc>
          <w:tcPr>
            <w:tcW w:w="1341" w:type="pct"/>
          </w:tcPr>
          <w:p w14:paraId="4DE338D7" w14:textId="77777777" w:rsidR="007901CE" w:rsidRDefault="007901CE" w:rsidP="004364FB">
            <w:pPr>
              <w:keepNext/>
              <w:spacing w:after="60"/>
              <w:rPr>
                <w:szCs w:val="22"/>
              </w:rPr>
            </w:pPr>
            <w:r w:rsidRPr="007562C2">
              <w:rPr>
                <w:rFonts w:asciiTheme="majorHAnsi" w:hAnsiTheme="majorHAnsi" w:cstheme="majorHAnsi"/>
                <w:b/>
                <w:szCs w:val="22"/>
              </w:rPr>
              <w:t>Syftet med Fusionen</w:t>
            </w:r>
          </w:p>
        </w:tc>
        <w:tc>
          <w:tcPr>
            <w:tcW w:w="103" w:type="pct"/>
          </w:tcPr>
          <w:p w14:paraId="21086F27" w14:textId="77777777" w:rsidR="007901CE" w:rsidRDefault="007901CE" w:rsidP="004364FB">
            <w:pPr>
              <w:keepNext/>
              <w:spacing w:after="60"/>
              <w:jc w:val="right"/>
              <w:rPr>
                <w:szCs w:val="22"/>
              </w:rPr>
            </w:pPr>
          </w:p>
        </w:tc>
        <w:tc>
          <w:tcPr>
            <w:tcW w:w="258" w:type="pct"/>
          </w:tcPr>
          <w:p w14:paraId="5B9D01A2" w14:textId="77777777" w:rsidR="007901CE" w:rsidRDefault="007901CE" w:rsidP="004364FB">
            <w:pPr>
              <w:keepNext/>
              <w:spacing w:after="60"/>
              <w:rPr>
                <w:szCs w:val="22"/>
                <w:lang w:val="en-GB"/>
              </w:rPr>
            </w:pPr>
            <w:r>
              <w:rPr>
                <w:rFonts w:asciiTheme="majorHAnsi" w:hAnsiTheme="majorHAnsi" w:cstheme="majorHAnsi"/>
                <w:b/>
                <w:szCs w:val="22"/>
              </w:rPr>
              <w:t>2.</w:t>
            </w:r>
          </w:p>
        </w:tc>
        <w:tc>
          <w:tcPr>
            <w:tcW w:w="1342" w:type="pct"/>
          </w:tcPr>
          <w:p w14:paraId="31549538" w14:textId="77777777" w:rsidR="007901CE" w:rsidRDefault="007901CE" w:rsidP="004364FB">
            <w:pPr>
              <w:keepNext/>
              <w:spacing w:after="60"/>
              <w:rPr>
                <w:szCs w:val="22"/>
                <w:lang w:val="en-GB"/>
              </w:rPr>
            </w:pPr>
            <w:r w:rsidRPr="007562C2">
              <w:rPr>
                <w:rFonts w:asciiTheme="majorHAnsi" w:hAnsiTheme="majorHAnsi" w:cstheme="majorHAnsi"/>
                <w:b/>
                <w:szCs w:val="22"/>
                <w:lang w:val="en-GB"/>
              </w:rPr>
              <w:t>Objective of the Merger</w:t>
            </w:r>
          </w:p>
        </w:tc>
        <w:tc>
          <w:tcPr>
            <w:tcW w:w="103" w:type="pct"/>
          </w:tcPr>
          <w:p w14:paraId="14ED585E" w14:textId="77777777" w:rsidR="007901CE" w:rsidRDefault="007901CE" w:rsidP="004364FB">
            <w:pPr>
              <w:keepNext/>
              <w:spacing w:after="60"/>
              <w:rPr>
                <w:rFonts w:asciiTheme="majorHAnsi" w:hAnsiTheme="majorHAnsi" w:cstheme="majorHAnsi"/>
                <w:b/>
                <w:szCs w:val="22"/>
                <w:lang w:val="en-GB"/>
              </w:rPr>
            </w:pPr>
          </w:p>
        </w:tc>
        <w:tc>
          <w:tcPr>
            <w:tcW w:w="257" w:type="pct"/>
          </w:tcPr>
          <w:p w14:paraId="7063CB83" w14:textId="77777777" w:rsidR="007901CE" w:rsidRPr="00ED75F9" w:rsidRDefault="007901CE" w:rsidP="004364FB">
            <w:pPr>
              <w:keepNext/>
              <w:spacing w:after="60"/>
              <w:rPr>
                <w:rFonts w:asciiTheme="minorHAnsi" w:hAnsiTheme="minorHAnsi" w:cstheme="minorHAnsi"/>
                <w:b/>
                <w:szCs w:val="22"/>
                <w:lang w:val="en-GB"/>
              </w:rPr>
            </w:pPr>
            <w:r>
              <w:rPr>
                <w:rFonts w:asciiTheme="majorHAnsi" w:hAnsiTheme="majorHAnsi" w:cstheme="majorHAnsi"/>
                <w:b/>
                <w:szCs w:val="22"/>
              </w:rPr>
              <w:t>2.</w:t>
            </w:r>
          </w:p>
        </w:tc>
        <w:tc>
          <w:tcPr>
            <w:tcW w:w="1338" w:type="pct"/>
          </w:tcPr>
          <w:p w14:paraId="3F8357BA" w14:textId="77777777" w:rsidR="007901CE" w:rsidRDefault="007901CE" w:rsidP="004364FB">
            <w:pPr>
              <w:keepNext/>
              <w:spacing w:after="60"/>
              <w:rPr>
                <w:szCs w:val="22"/>
                <w:lang w:val="en-GB"/>
              </w:rPr>
            </w:pPr>
            <w:r>
              <w:rPr>
                <w:rFonts w:asciiTheme="majorHAnsi" w:hAnsiTheme="majorHAnsi" w:cstheme="majorHAnsi"/>
                <w:b/>
                <w:szCs w:val="22"/>
                <w:lang w:val="en-GB"/>
              </w:rPr>
              <w:t>Sulautumisen tarkoitus</w:t>
            </w:r>
          </w:p>
        </w:tc>
      </w:tr>
      <w:tr w:rsidR="00D56D80" w:rsidRPr="00890B1B" w14:paraId="7461364E" w14:textId="77777777" w:rsidTr="00317950">
        <w:tc>
          <w:tcPr>
            <w:tcW w:w="258" w:type="pct"/>
          </w:tcPr>
          <w:p w14:paraId="41A41E3B" w14:textId="77777777" w:rsidR="00D82325" w:rsidRDefault="00D82325" w:rsidP="00D82325">
            <w:pPr>
              <w:pStyle w:val="Rubrik1"/>
              <w:keepNext w:val="0"/>
              <w:numPr>
                <w:ilvl w:val="0"/>
                <w:numId w:val="0"/>
              </w:numPr>
              <w:rPr>
                <w:rFonts w:asciiTheme="minorHAnsi" w:hAnsiTheme="minorHAnsi" w:cstheme="minorHAnsi"/>
                <w:b w:val="0"/>
                <w:szCs w:val="22"/>
                <w:lang w:val="en-GB"/>
              </w:rPr>
            </w:pPr>
            <w:r>
              <w:rPr>
                <w:rFonts w:asciiTheme="minorHAnsi" w:hAnsiTheme="minorHAnsi" w:cstheme="minorHAnsi"/>
                <w:b w:val="0"/>
                <w:szCs w:val="22"/>
                <w:lang w:val="en-GB"/>
              </w:rPr>
              <w:t>2.1</w:t>
            </w:r>
          </w:p>
        </w:tc>
        <w:tc>
          <w:tcPr>
            <w:tcW w:w="1341" w:type="pct"/>
          </w:tcPr>
          <w:p w14:paraId="5028A2D0" w14:textId="463CF20C" w:rsidR="00D82325" w:rsidRPr="008D32C1" w:rsidRDefault="00D82325" w:rsidP="007F0223">
            <w:pPr>
              <w:pStyle w:val="Normalmedindrag"/>
              <w:tabs>
                <w:tab w:val="left" w:pos="3402"/>
              </w:tabs>
              <w:ind w:left="0"/>
            </w:pPr>
            <w:r w:rsidRPr="009E64A2">
              <w:t>Som anges i Fusionsplanen</w:t>
            </w:r>
            <w:r w:rsidR="00AC1161">
              <w:t xml:space="preserve"> </w:t>
            </w:r>
            <w:r w:rsidR="00FC07E1">
              <w:t>innebär</w:t>
            </w:r>
            <w:r w:rsidR="00AC1161" w:rsidRPr="00AC1161">
              <w:t xml:space="preserve"> det Överlåtande Bolagets unika nordiska och internationella struktur att de befintliga nationella regel</w:t>
            </w:r>
            <w:r w:rsidR="004364FB">
              <w:softHyphen/>
            </w:r>
            <w:r w:rsidR="00AC1161" w:rsidRPr="00AC1161">
              <w:t>verke</w:t>
            </w:r>
            <w:r w:rsidR="00FC07E1">
              <w:t>n</w:t>
            </w:r>
            <w:r w:rsidR="00AC1161" w:rsidRPr="00AC1161">
              <w:t xml:space="preserve"> inte </w:t>
            </w:r>
            <w:r w:rsidR="009317D8">
              <w:t xml:space="preserve">har </w:t>
            </w:r>
            <w:r w:rsidR="00AC1161" w:rsidRPr="00AC1161">
              <w:t>varit helt ändamåls</w:t>
            </w:r>
            <w:r w:rsidR="004364FB">
              <w:softHyphen/>
            </w:r>
            <w:r w:rsidR="00AC1161" w:rsidRPr="00AC1161">
              <w:t>enlig</w:t>
            </w:r>
            <w:r w:rsidR="009317D8">
              <w:t>a</w:t>
            </w:r>
            <w:r w:rsidR="00AC1161" w:rsidRPr="00AC1161">
              <w:t xml:space="preserve"> för </w:t>
            </w:r>
            <w:r w:rsidR="009317D8">
              <w:t>det Överlåtande B</w:t>
            </w:r>
            <w:r w:rsidR="00AC1161" w:rsidRPr="00AC1161">
              <w:t>olagets verksamhets</w:t>
            </w:r>
            <w:r w:rsidR="00317950">
              <w:softHyphen/>
            </w:r>
            <w:r w:rsidR="00AC1161" w:rsidRPr="00AC1161">
              <w:lastRenderedPageBreak/>
              <w:t xml:space="preserve">modell och dess senaste strategiska utveckling. Med det </w:t>
            </w:r>
            <w:r w:rsidR="009317D8">
              <w:t>Fusionerade</w:t>
            </w:r>
            <w:r w:rsidR="00AC1161" w:rsidRPr="00AC1161">
              <w:t xml:space="preserve"> Bolagets säte i ett land som är medlem i EU:s bankunion </w:t>
            </w:r>
            <w:r w:rsidR="00AC0076">
              <w:t xml:space="preserve">kommer </w:t>
            </w:r>
            <w:r w:rsidR="009317D8">
              <w:t>det Fusionerade Bolaget</w:t>
            </w:r>
            <w:r w:rsidR="009317D8" w:rsidRPr="00AC1161">
              <w:t xml:space="preserve"> </w:t>
            </w:r>
            <w:r w:rsidR="00AC0076">
              <w:t xml:space="preserve">att omfattas </w:t>
            </w:r>
            <w:r w:rsidR="00AC1161" w:rsidRPr="00AC1161">
              <w:t xml:space="preserve">av </w:t>
            </w:r>
            <w:r w:rsidR="00DC0327">
              <w:t>liknande</w:t>
            </w:r>
            <w:r w:rsidR="00AC1161" w:rsidRPr="00AC1161">
              <w:t xml:space="preserve"> regelverk som </w:t>
            </w:r>
            <w:r w:rsidR="00DC0327">
              <w:t xml:space="preserve">andra </w:t>
            </w:r>
            <w:r w:rsidR="00AC1161" w:rsidRPr="00AC1161">
              <w:t>jämför</w:t>
            </w:r>
            <w:r w:rsidR="00317950">
              <w:softHyphen/>
            </w:r>
            <w:r w:rsidR="00AC1161" w:rsidRPr="00AC1161">
              <w:t>bara europeiska banker, med en mer konsekvent regeltillämp</w:t>
            </w:r>
            <w:r w:rsidR="004364FB">
              <w:softHyphen/>
            </w:r>
            <w:r w:rsidR="00AC1161" w:rsidRPr="00AC1161">
              <w:t>ning och därmed mer jämlika förut</w:t>
            </w:r>
            <w:r w:rsidR="004364FB">
              <w:softHyphen/>
            </w:r>
            <w:r w:rsidR="00AC1161" w:rsidRPr="00AC1161">
              <w:t>sättningar</w:t>
            </w:r>
            <w:r w:rsidR="009317D8">
              <w:t>. Detta</w:t>
            </w:r>
            <w:r w:rsidR="00AC1161" w:rsidRPr="00AC1161">
              <w:t xml:space="preserve"> förutses främja kunders, aktieägares och med</w:t>
            </w:r>
            <w:r w:rsidR="004364FB">
              <w:softHyphen/>
            </w:r>
            <w:r w:rsidR="00AC1161" w:rsidRPr="00AC1161">
              <w:t>arbetares intre</w:t>
            </w:r>
            <w:r w:rsidR="00AC1161">
              <w:t>ssen.</w:t>
            </w:r>
            <w:r w:rsidR="00D31643">
              <w:t xml:space="preserve"> Som en följd av Fusionen kommer det Övertagande Bolaget att bli det nya moderbolaget i Nordea</w:t>
            </w:r>
            <w:r w:rsidR="00E96E06">
              <w:softHyphen/>
            </w:r>
            <w:r w:rsidR="00D31643">
              <w:t>koncernen. Därigenom kommer Nordeakoncernens säte att flyttas till Helsingfors, Finland.</w:t>
            </w:r>
          </w:p>
        </w:tc>
        <w:tc>
          <w:tcPr>
            <w:tcW w:w="103" w:type="pct"/>
          </w:tcPr>
          <w:p w14:paraId="41FAD630" w14:textId="77777777" w:rsidR="00D82325" w:rsidRPr="008D32C1" w:rsidRDefault="00D82325" w:rsidP="00D82325">
            <w:pPr>
              <w:jc w:val="right"/>
            </w:pPr>
          </w:p>
        </w:tc>
        <w:tc>
          <w:tcPr>
            <w:tcW w:w="258" w:type="pct"/>
          </w:tcPr>
          <w:p w14:paraId="4EF7B3FF" w14:textId="77777777" w:rsidR="00D82325" w:rsidRDefault="00D82325" w:rsidP="00D82325">
            <w:r>
              <w:t>2.1</w:t>
            </w:r>
          </w:p>
        </w:tc>
        <w:tc>
          <w:tcPr>
            <w:tcW w:w="1342" w:type="pct"/>
          </w:tcPr>
          <w:p w14:paraId="0FC11F32" w14:textId="415209A9" w:rsidR="00D82325" w:rsidRDefault="00D82325" w:rsidP="007553E5">
            <w:pPr>
              <w:rPr>
                <w:lang w:val="en-GB"/>
              </w:rPr>
            </w:pPr>
            <w:r w:rsidRPr="009E64A2">
              <w:rPr>
                <w:szCs w:val="22"/>
                <w:lang w:val="en-GB"/>
              </w:rPr>
              <w:t xml:space="preserve">As </w:t>
            </w:r>
            <w:r w:rsidR="00ED6662">
              <w:rPr>
                <w:szCs w:val="22"/>
                <w:lang w:val="en-GB"/>
              </w:rPr>
              <w:t>set out in</w:t>
            </w:r>
            <w:r w:rsidRPr="009E64A2">
              <w:rPr>
                <w:szCs w:val="22"/>
                <w:lang w:val="en-GB"/>
              </w:rPr>
              <w:t xml:space="preserve"> the Merger Plan, </w:t>
            </w:r>
            <w:r w:rsidR="009317D8">
              <w:rPr>
                <w:lang w:val="en-GB"/>
              </w:rPr>
              <w:t>the Transferor Company’s unique pan</w:t>
            </w:r>
            <w:r w:rsidR="009317D8">
              <w:rPr>
                <w:lang w:val="en-GB"/>
              </w:rPr>
              <w:noBreakHyphen/>
              <w:t xml:space="preserve">Nordic and international structure means that the existing national regulatory frameworks do not fully accommodate the Transferor </w:t>
            </w:r>
            <w:r w:rsidR="009317D8">
              <w:rPr>
                <w:lang w:val="en-GB"/>
              </w:rPr>
              <w:lastRenderedPageBreak/>
              <w:t xml:space="preserve">Company’s operating model and recent strategic developments. Domiciling the Merged Company in a country that is participating in the EU’s banking union, will mean that the Merged Company will be subject to a similar regulatory framework as its European peers, with a greater consistency of the application of laws and regulations and therefore more of a level playing field. This is expected to promote the interests of customers, shareholders and employees. </w:t>
            </w:r>
            <w:r w:rsidR="008F7774">
              <w:rPr>
                <w:lang w:val="en-GB"/>
              </w:rPr>
              <w:t>As a result of the Merger, the Transferee Company will be the new parent company of the Nordea Group. Thereby, the Nordea Group’s registered office will be transferred to Helsinki, Finland.</w:t>
            </w:r>
          </w:p>
        </w:tc>
        <w:tc>
          <w:tcPr>
            <w:tcW w:w="103" w:type="pct"/>
          </w:tcPr>
          <w:p w14:paraId="7ED687AB" w14:textId="77777777" w:rsidR="00D82325" w:rsidRDefault="00D82325" w:rsidP="00D82325">
            <w:pPr>
              <w:rPr>
                <w:lang w:val="en-GB"/>
              </w:rPr>
            </w:pPr>
          </w:p>
        </w:tc>
        <w:tc>
          <w:tcPr>
            <w:tcW w:w="257" w:type="pct"/>
          </w:tcPr>
          <w:p w14:paraId="071FA868" w14:textId="77777777" w:rsidR="00D82325" w:rsidRPr="00ED75F9" w:rsidRDefault="00D82325" w:rsidP="00D82325">
            <w:pPr>
              <w:rPr>
                <w:rFonts w:asciiTheme="minorHAnsi" w:hAnsiTheme="minorHAnsi" w:cstheme="minorHAnsi"/>
                <w:szCs w:val="22"/>
                <w:lang w:val="en-GB"/>
              </w:rPr>
            </w:pPr>
            <w:r w:rsidRPr="0080485D">
              <w:rPr>
                <w:lang w:val="en-GB"/>
              </w:rPr>
              <w:t>2.1</w:t>
            </w:r>
          </w:p>
        </w:tc>
        <w:tc>
          <w:tcPr>
            <w:tcW w:w="1338" w:type="pct"/>
          </w:tcPr>
          <w:p w14:paraId="648C45DE" w14:textId="1FF9CB10" w:rsidR="00D82325" w:rsidRPr="00EB5D51" w:rsidRDefault="00BB3967" w:rsidP="00BF78E7">
            <w:pPr>
              <w:rPr>
                <w:szCs w:val="22"/>
                <w:lang w:val="fi-FI"/>
              </w:rPr>
            </w:pPr>
            <w:r w:rsidRPr="00982A05">
              <w:rPr>
                <w:szCs w:val="22"/>
                <w:lang w:val="fi-FI"/>
              </w:rPr>
              <w:t>Kuten Sulautumissuunnitelmassa on todettu,</w:t>
            </w:r>
            <w:r w:rsidR="00105280">
              <w:rPr>
                <w:szCs w:val="22"/>
                <w:lang w:val="fi-FI"/>
              </w:rPr>
              <w:t xml:space="preserve"> </w:t>
            </w:r>
            <w:r w:rsidR="00BF78E7">
              <w:rPr>
                <w:szCs w:val="22"/>
                <w:lang w:val="fi-FI"/>
              </w:rPr>
              <w:t xml:space="preserve">eivät </w:t>
            </w:r>
            <w:r w:rsidR="00BE658A">
              <w:rPr>
                <w:szCs w:val="22"/>
                <w:lang w:val="fi-FI"/>
              </w:rPr>
              <w:t>olemassa olevat kansalliset sä</w:t>
            </w:r>
            <w:r w:rsidR="00BF78E7">
              <w:rPr>
                <w:szCs w:val="22"/>
                <w:lang w:val="fi-FI"/>
              </w:rPr>
              <w:t xml:space="preserve">äntelykehykset </w:t>
            </w:r>
            <w:r w:rsidR="00BE658A">
              <w:rPr>
                <w:szCs w:val="22"/>
                <w:lang w:val="fi-FI"/>
              </w:rPr>
              <w:t xml:space="preserve">Sulautuvan Yhtiön ainutlaatuisen yhteispohjoismaisen ja kansainvälisen rakenteen vuoksi ole kaikilta osin </w:t>
            </w:r>
            <w:r w:rsidR="00BE658A">
              <w:rPr>
                <w:szCs w:val="22"/>
                <w:lang w:val="fi-FI"/>
              </w:rPr>
              <w:lastRenderedPageBreak/>
              <w:t xml:space="preserve">tarkoituksenmukaisia Sulautuvan Yhtiön liiketoimintamallin ja viimeaikaisen strategisen kehityksen kannalta. Kun Sulautuneen Yhtiön kotipaikka on EU:n pankkiunioniin kuuluvassa valtiossa, Sulautuneeseen Yhtiöön sovelletaan vastaavaa sääntelykehystä kuin muihin vertailukelpoisiin eurooppalaisiin pankkeihin, jolloin lakien ja määräysten soveltaminen on yhdenmukaisempaa ja toimintaedellytykset ovat tasapuolisemmat. Tämän odotetaan olevan niin asiakkaiden, osakkeenomistajien kuin työntekijöidenkin etujen mukaista. Sulautumisen myötä Vastaanottavasta Yhtiöstä tulee Nordea-konsernin uusi emoyhtiö. Nordea-konsernin kotipaikka siirtyy </w:t>
            </w:r>
            <w:r w:rsidR="00417FF8">
              <w:rPr>
                <w:szCs w:val="22"/>
                <w:lang w:val="fi-FI"/>
              </w:rPr>
              <w:t>näin ollen Helsinkiin, Suomeen.</w:t>
            </w:r>
          </w:p>
        </w:tc>
      </w:tr>
    </w:tbl>
    <w:p w14:paraId="280ED35B" w14:textId="77777777" w:rsidR="00317950" w:rsidRPr="00890B1B" w:rsidRDefault="00317950">
      <w:pPr>
        <w:rPr>
          <w:lang w:val="fi-FI"/>
        </w:rPr>
      </w:pPr>
      <w:r w:rsidRPr="00890B1B">
        <w:rPr>
          <w:b/>
          <w:bCs/>
          <w:lang w:val="fi-FI"/>
        </w:rPr>
        <w:lastRenderedPageBreak/>
        <w:br w:type="page"/>
      </w:r>
    </w:p>
    <w:tbl>
      <w:tblPr>
        <w:tblStyle w:val="Tabellrutnt"/>
        <w:tblW w:w="1375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687"/>
        <w:gridCol w:w="283"/>
        <w:gridCol w:w="710"/>
        <w:gridCol w:w="3691"/>
        <w:gridCol w:w="283"/>
        <w:gridCol w:w="707"/>
        <w:gridCol w:w="3680"/>
      </w:tblGrid>
      <w:tr w:rsidR="00317950" w:rsidRPr="00890B1B" w14:paraId="43ADB94D" w14:textId="77777777" w:rsidTr="00317950">
        <w:tc>
          <w:tcPr>
            <w:tcW w:w="258" w:type="pct"/>
          </w:tcPr>
          <w:p w14:paraId="506D3450" w14:textId="63BEC169" w:rsidR="006F325D" w:rsidRDefault="006F325D" w:rsidP="006F325D">
            <w:pPr>
              <w:pStyle w:val="Rubrik1"/>
              <w:keepNext w:val="0"/>
              <w:numPr>
                <w:ilvl w:val="0"/>
                <w:numId w:val="0"/>
              </w:numPr>
              <w:rPr>
                <w:rFonts w:asciiTheme="minorHAnsi" w:hAnsiTheme="minorHAnsi" w:cstheme="minorHAnsi"/>
                <w:b w:val="0"/>
                <w:szCs w:val="22"/>
                <w:lang w:val="en-GB"/>
              </w:rPr>
            </w:pPr>
            <w:r>
              <w:rPr>
                <w:rFonts w:asciiTheme="minorHAnsi" w:hAnsiTheme="minorHAnsi" w:cstheme="minorHAnsi"/>
                <w:b w:val="0"/>
                <w:szCs w:val="22"/>
                <w:lang w:val="en-GB"/>
              </w:rPr>
              <w:lastRenderedPageBreak/>
              <w:t>2.2</w:t>
            </w:r>
          </w:p>
        </w:tc>
        <w:tc>
          <w:tcPr>
            <w:tcW w:w="1341" w:type="pct"/>
          </w:tcPr>
          <w:p w14:paraId="087CC326" w14:textId="6E7291A3" w:rsidR="006F325D" w:rsidRPr="003B0B0C" w:rsidRDefault="006F325D" w:rsidP="009317D8">
            <w:pPr>
              <w:pStyle w:val="Normalmedindrag"/>
              <w:tabs>
                <w:tab w:val="left" w:pos="3402"/>
              </w:tabs>
              <w:ind w:left="0"/>
            </w:pPr>
            <w:r w:rsidRPr="003B0B0C">
              <w:t>Den</w:t>
            </w:r>
            <w:r>
              <w:t xml:space="preserve"> verksamhet som i dag bedrivs av det Överlåtande Bolaget består av bank</w:t>
            </w:r>
            <w:r w:rsidR="009317D8">
              <w:t>rörelse</w:t>
            </w:r>
            <w:r w:rsidRPr="003B0B0C">
              <w:t xml:space="preserve"> och värdepappersrörelse.</w:t>
            </w:r>
            <w:r>
              <w:t xml:space="preserve"> Det Övertagande Bolaget är ett för Fusionen särskilt nybildat bolag som senast vid tidpunkten för verkställ</w:t>
            </w:r>
            <w:r w:rsidR="004364FB">
              <w:softHyphen/>
            </w:r>
            <w:r>
              <w:t>andet av Fusionen kommer att ha tillstånd att bedriva bankrörelse och värdepappers</w:t>
            </w:r>
            <w:r w:rsidR="00317950">
              <w:softHyphen/>
            </w:r>
            <w:r>
              <w:t>rörelse</w:t>
            </w:r>
            <w:r w:rsidR="009D056D">
              <w:t xml:space="preserve"> i Finland samt</w:t>
            </w:r>
            <w:r w:rsidR="003A7DB3">
              <w:t xml:space="preserve"> avses även inneha sådant tillstånd</w:t>
            </w:r>
            <w:r w:rsidR="009D056D">
              <w:t xml:space="preserve"> i</w:t>
            </w:r>
            <w:r w:rsidR="0074713A">
              <w:t xml:space="preserve"> </w:t>
            </w:r>
            <w:r w:rsidR="009D056D">
              <w:t>övriga juris</w:t>
            </w:r>
            <w:r w:rsidR="00317950">
              <w:softHyphen/>
            </w:r>
            <w:r w:rsidR="009D056D">
              <w:t xml:space="preserve">diktioner i vilka det Överlåtande Bolaget i dagsläget bedriver </w:t>
            </w:r>
            <w:r w:rsidR="009317D8">
              <w:t>sådan verksamhet</w:t>
            </w:r>
            <w:r w:rsidR="009D056D">
              <w:t xml:space="preserve"> genom filialer</w:t>
            </w:r>
            <w:r w:rsidR="0074713A">
              <w:t xml:space="preserve"> samt i Sverige</w:t>
            </w:r>
            <w:r>
              <w:t>.</w:t>
            </w:r>
          </w:p>
        </w:tc>
        <w:tc>
          <w:tcPr>
            <w:tcW w:w="103" w:type="pct"/>
          </w:tcPr>
          <w:p w14:paraId="3557335D" w14:textId="77777777" w:rsidR="006F325D" w:rsidRPr="003B0B0C" w:rsidRDefault="006F325D" w:rsidP="006F325D">
            <w:pPr>
              <w:jc w:val="right"/>
            </w:pPr>
          </w:p>
        </w:tc>
        <w:tc>
          <w:tcPr>
            <w:tcW w:w="258" w:type="pct"/>
          </w:tcPr>
          <w:p w14:paraId="6D5A5737" w14:textId="77777777" w:rsidR="006F325D" w:rsidRPr="003B0B0C" w:rsidRDefault="006F325D" w:rsidP="006F325D">
            <w:r w:rsidRPr="003B0B0C">
              <w:t>2.2</w:t>
            </w:r>
          </w:p>
        </w:tc>
        <w:tc>
          <w:tcPr>
            <w:tcW w:w="1342" w:type="pct"/>
          </w:tcPr>
          <w:p w14:paraId="3DD0D06B" w14:textId="42166379" w:rsidR="006F325D" w:rsidRPr="003B0B0C" w:rsidRDefault="006F325D" w:rsidP="00F415E9">
            <w:pPr>
              <w:rPr>
                <w:lang w:val="en-GB"/>
              </w:rPr>
            </w:pPr>
            <w:r w:rsidRPr="003B0B0C">
              <w:rPr>
                <w:szCs w:val="22"/>
                <w:lang w:val="en-GB"/>
              </w:rPr>
              <w:t xml:space="preserve">The business activities which today are conducted by the </w:t>
            </w:r>
            <w:r>
              <w:rPr>
                <w:szCs w:val="22"/>
                <w:lang w:val="en-GB"/>
              </w:rPr>
              <w:t xml:space="preserve">Transferor Company </w:t>
            </w:r>
            <w:r w:rsidRPr="003B0B0C">
              <w:rPr>
                <w:szCs w:val="22"/>
                <w:lang w:val="en-GB"/>
              </w:rPr>
              <w:t xml:space="preserve">consist of banking </w:t>
            </w:r>
            <w:r w:rsidR="009317D8">
              <w:rPr>
                <w:szCs w:val="22"/>
                <w:lang w:val="en-GB"/>
              </w:rPr>
              <w:t>business</w:t>
            </w:r>
            <w:r w:rsidR="009317D8" w:rsidRPr="003B0B0C">
              <w:rPr>
                <w:szCs w:val="22"/>
                <w:lang w:val="en-GB"/>
              </w:rPr>
              <w:t xml:space="preserve"> </w:t>
            </w:r>
            <w:r w:rsidRPr="003B0B0C">
              <w:rPr>
                <w:szCs w:val="22"/>
                <w:lang w:val="en-GB"/>
              </w:rPr>
              <w:t xml:space="preserve">and investment services. </w:t>
            </w:r>
            <w:r>
              <w:rPr>
                <w:lang w:val="en-GB"/>
              </w:rPr>
              <w:t xml:space="preserve">The Transferee Company is a company specifically established for the Merger that will be licensed to conduct banking business and investment services </w:t>
            </w:r>
            <w:r w:rsidR="009D056D">
              <w:rPr>
                <w:lang w:val="en-GB"/>
              </w:rPr>
              <w:t xml:space="preserve">in Finland and </w:t>
            </w:r>
            <w:r w:rsidR="00F61537">
              <w:rPr>
                <w:lang w:val="en-GB"/>
              </w:rPr>
              <w:t xml:space="preserve">is </w:t>
            </w:r>
            <w:r w:rsidR="008D5976">
              <w:rPr>
                <w:lang w:val="en-GB"/>
              </w:rPr>
              <w:t xml:space="preserve">also </w:t>
            </w:r>
            <w:r w:rsidR="00F61537">
              <w:rPr>
                <w:lang w:val="en-GB"/>
              </w:rPr>
              <w:t xml:space="preserve">intended to hold such licence </w:t>
            </w:r>
            <w:r w:rsidR="009D056D">
              <w:rPr>
                <w:lang w:val="en-GB"/>
              </w:rPr>
              <w:t>in other jurisdictions in which the Transferor Company currently conduct such operations through branches</w:t>
            </w:r>
            <w:r w:rsidR="0074713A">
              <w:rPr>
                <w:lang w:val="en-GB"/>
              </w:rPr>
              <w:t xml:space="preserve"> as well as in Sweden</w:t>
            </w:r>
            <w:r w:rsidR="009D056D">
              <w:rPr>
                <w:lang w:val="en-GB"/>
              </w:rPr>
              <w:t xml:space="preserve"> </w:t>
            </w:r>
            <w:r>
              <w:rPr>
                <w:lang w:val="en-GB"/>
              </w:rPr>
              <w:t>upon the execution of the Merger, at the latest.</w:t>
            </w:r>
          </w:p>
        </w:tc>
        <w:tc>
          <w:tcPr>
            <w:tcW w:w="103" w:type="pct"/>
          </w:tcPr>
          <w:p w14:paraId="0ED86108" w14:textId="77777777" w:rsidR="006F325D" w:rsidRDefault="006F325D" w:rsidP="006F325D">
            <w:pPr>
              <w:rPr>
                <w:lang w:val="en-GB"/>
              </w:rPr>
            </w:pPr>
          </w:p>
        </w:tc>
        <w:tc>
          <w:tcPr>
            <w:tcW w:w="257" w:type="pct"/>
          </w:tcPr>
          <w:p w14:paraId="1E0F2050" w14:textId="77777777" w:rsidR="006F325D" w:rsidRPr="00ED75F9" w:rsidRDefault="006F325D" w:rsidP="006F325D">
            <w:pPr>
              <w:rPr>
                <w:rFonts w:asciiTheme="minorHAnsi" w:hAnsiTheme="minorHAnsi" w:cstheme="minorHAnsi"/>
                <w:szCs w:val="22"/>
                <w:lang w:val="en-GB"/>
              </w:rPr>
            </w:pPr>
            <w:r>
              <w:t>2.2</w:t>
            </w:r>
          </w:p>
        </w:tc>
        <w:tc>
          <w:tcPr>
            <w:tcW w:w="1338" w:type="pct"/>
          </w:tcPr>
          <w:p w14:paraId="45575D93" w14:textId="5246A500" w:rsidR="006F325D" w:rsidRPr="00B86173" w:rsidRDefault="006F325D" w:rsidP="00F415E9">
            <w:pPr>
              <w:rPr>
                <w:lang w:val="fi-FI"/>
              </w:rPr>
            </w:pPr>
            <w:r w:rsidRPr="003A1D3A">
              <w:rPr>
                <w:szCs w:val="22"/>
                <w:lang w:val="fi-FI"/>
              </w:rPr>
              <w:t xml:space="preserve">Liiketoiminta, jota </w:t>
            </w:r>
            <w:r w:rsidR="007553E5">
              <w:rPr>
                <w:szCs w:val="22"/>
                <w:lang w:val="fi-FI"/>
              </w:rPr>
              <w:t xml:space="preserve">Sulautuva Yhtiö </w:t>
            </w:r>
            <w:r w:rsidRPr="003A1D3A">
              <w:rPr>
                <w:szCs w:val="22"/>
                <w:lang w:val="fi-FI"/>
              </w:rPr>
              <w:t xml:space="preserve">nykyisin </w:t>
            </w:r>
            <w:r w:rsidR="007553E5">
              <w:rPr>
                <w:szCs w:val="22"/>
                <w:lang w:val="fi-FI"/>
              </w:rPr>
              <w:t>harjoi</w:t>
            </w:r>
            <w:r w:rsidR="007553E5" w:rsidRPr="003A1D3A">
              <w:rPr>
                <w:szCs w:val="22"/>
                <w:lang w:val="fi-FI"/>
              </w:rPr>
              <w:t>t</w:t>
            </w:r>
            <w:r w:rsidR="007553E5">
              <w:rPr>
                <w:szCs w:val="22"/>
                <w:lang w:val="fi-FI"/>
              </w:rPr>
              <w:t>taa</w:t>
            </w:r>
            <w:r w:rsidRPr="003A1D3A">
              <w:rPr>
                <w:szCs w:val="22"/>
                <w:lang w:val="fi-FI"/>
              </w:rPr>
              <w:t>, muodostuu pankki</w:t>
            </w:r>
            <w:r w:rsidR="00686260" w:rsidRPr="00686260">
              <w:rPr>
                <w:szCs w:val="22"/>
                <w:lang w:val="fi-FI"/>
              </w:rPr>
              <w:t>liiketoiminnasta</w:t>
            </w:r>
            <w:r w:rsidR="00686260" w:rsidRPr="00E27FCB">
              <w:rPr>
                <w:szCs w:val="22"/>
                <w:lang w:val="fi-FI"/>
              </w:rPr>
              <w:t xml:space="preserve"> j</w:t>
            </w:r>
            <w:bookmarkStart w:id="1" w:name="_BPDCI_1"/>
            <w:r w:rsidRPr="003B0B0C">
              <w:rPr>
                <w:szCs w:val="22"/>
                <w:lang w:val="fi-FI"/>
              </w:rPr>
              <w:t>a sijoituspalveluista</w:t>
            </w:r>
            <w:bookmarkEnd w:id="1"/>
            <w:r w:rsidRPr="003A1D3A">
              <w:rPr>
                <w:szCs w:val="22"/>
                <w:lang w:val="fi-FI"/>
              </w:rPr>
              <w:t xml:space="preserve">. </w:t>
            </w:r>
            <w:r w:rsidR="006B0634" w:rsidRPr="006B0634">
              <w:rPr>
                <w:szCs w:val="22"/>
                <w:lang w:val="fi-FI"/>
              </w:rPr>
              <w:t>Vastaanottava Yhtiö on yhtiö, joka on perustettu nimenomaisesti Sulautumista varten ja joll</w:t>
            </w:r>
            <w:r w:rsidR="0074713A">
              <w:rPr>
                <w:szCs w:val="22"/>
                <w:lang w:val="fi-FI"/>
              </w:rPr>
              <w:t xml:space="preserve">a tulee olemaan </w:t>
            </w:r>
            <w:r w:rsidR="006B0634" w:rsidRPr="006B0634">
              <w:rPr>
                <w:szCs w:val="22"/>
                <w:lang w:val="fi-FI"/>
              </w:rPr>
              <w:t xml:space="preserve">toimilupa pankki- ja sijoituspalvelutoimintaan </w:t>
            </w:r>
            <w:r w:rsidR="00A550B2" w:rsidRPr="00A550B2">
              <w:rPr>
                <w:szCs w:val="22"/>
                <w:lang w:val="fi-FI"/>
              </w:rPr>
              <w:t xml:space="preserve">Suomessa ja </w:t>
            </w:r>
            <w:r w:rsidR="00D325E3">
              <w:rPr>
                <w:szCs w:val="22"/>
                <w:lang w:val="fi-FI"/>
              </w:rPr>
              <w:t>sillä</w:t>
            </w:r>
            <w:r w:rsidR="00A550B2" w:rsidRPr="00A550B2">
              <w:rPr>
                <w:szCs w:val="22"/>
                <w:lang w:val="fi-FI"/>
              </w:rPr>
              <w:t xml:space="preserve"> on tarkoitus olla vastaava lupa kaikissa maissa, joissa Sulautuva Yhtiö tällä hetkellä harjoittaa vastaavaa toimintaa sivuliikkeiden kautta</w:t>
            </w:r>
            <w:r w:rsidR="0074713A">
              <w:rPr>
                <w:szCs w:val="22"/>
                <w:lang w:val="fi-FI"/>
              </w:rPr>
              <w:t xml:space="preserve"> sekä Ruotsissa</w:t>
            </w:r>
            <w:r w:rsidR="00A550B2" w:rsidRPr="00A550B2">
              <w:rPr>
                <w:szCs w:val="22"/>
                <w:lang w:val="fi-FI"/>
              </w:rPr>
              <w:t xml:space="preserve"> </w:t>
            </w:r>
            <w:r w:rsidR="006B0634" w:rsidRPr="006B0634">
              <w:rPr>
                <w:szCs w:val="22"/>
                <w:lang w:val="fi-FI"/>
              </w:rPr>
              <w:t>viimeistään Sulautum</w:t>
            </w:r>
            <w:r w:rsidR="006B0634">
              <w:rPr>
                <w:szCs w:val="22"/>
                <w:lang w:val="fi-FI"/>
              </w:rPr>
              <w:t>isen täytäntöönpanon yhteydessä</w:t>
            </w:r>
            <w:r w:rsidRPr="003A1D3A">
              <w:rPr>
                <w:szCs w:val="22"/>
                <w:lang w:val="fi-FI"/>
              </w:rPr>
              <w:t>.</w:t>
            </w:r>
          </w:p>
        </w:tc>
      </w:tr>
      <w:tr w:rsidR="00317950" w:rsidRPr="00890B1B" w14:paraId="0A4C93BA" w14:textId="77777777" w:rsidTr="00317950">
        <w:tc>
          <w:tcPr>
            <w:tcW w:w="258" w:type="pct"/>
          </w:tcPr>
          <w:p w14:paraId="7AAAA433" w14:textId="459B0A0F" w:rsidR="00BB3DCA" w:rsidRDefault="00BB3DCA" w:rsidP="00BB3DCA">
            <w:pPr>
              <w:pStyle w:val="Rubrik1"/>
              <w:keepNext w:val="0"/>
              <w:numPr>
                <w:ilvl w:val="0"/>
                <w:numId w:val="0"/>
              </w:numPr>
              <w:rPr>
                <w:rFonts w:asciiTheme="minorHAnsi" w:hAnsiTheme="minorHAnsi" w:cstheme="minorHAnsi"/>
                <w:b w:val="0"/>
                <w:szCs w:val="22"/>
                <w:lang w:val="en-GB"/>
              </w:rPr>
            </w:pPr>
            <w:r>
              <w:rPr>
                <w:rFonts w:asciiTheme="minorHAnsi" w:hAnsiTheme="minorHAnsi" w:cstheme="minorHAnsi"/>
                <w:b w:val="0"/>
                <w:szCs w:val="22"/>
                <w:lang w:val="en-GB"/>
              </w:rPr>
              <w:t>2.3</w:t>
            </w:r>
          </w:p>
        </w:tc>
        <w:tc>
          <w:tcPr>
            <w:tcW w:w="1341" w:type="pct"/>
          </w:tcPr>
          <w:p w14:paraId="7F6A2193" w14:textId="2F3E710B" w:rsidR="00BB3DCA" w:rsidRDefault="00BB3DCA" w:rsidP="00F415E9">
            <w:pPr>
              <w:pStyle w:val="Normalmedindrag"/>
              <w:tabs>
                <w:tab w:val="left" w:pos="3402"/>
              </w:tabs>
              <w:ind w:left="0"/>
            </w:pPr>
            <w:r>
              <w:t xml:space="preserve">Efter verkställandet av Fusionen kommer det Överlåtande Bolagets verksamhet, i den utsträckning den härrör från Sverige, att bedrivas av det </w:t>
            </w:r>
            <w:r w:rsidR="007553E5">
              <w:t xml:space="preserve">Fusionerade </w:t>
            </w:r>
            <w:r>
              <w:t>Bolaget genom</w:t>
            </w:r>
            <w:r w:rsidR="00B141B0">
              <w:t xml:space="preserve"> en filial i Sverige med </w:t>
            </w:r>
            <w:r w:rsidR="00F415E9">
              <w:t xml:space="preserve">föreslagen </w:t>
            </w:r>
            <w:r w:rsidR="00B141B0">
              <w:t>firma</w:t>
            </w:r>
            <w:r>
              <w:t xml:space="preserve"> </w:t>
            </w:r>
            <w:r w:rsidR="00366413">
              <w:t xml:space="preserve">Nordea Bank Abp, </w:t>
            </w:r>
            <w:r w:rsidR="00AC1161">
              <w:t>f</w:t>
            </w:r>
            <w:r w:rsidR="00B825A2">
              <w:t>ilial i Sverige</w:t>
            </w:r>
            <w:r>
              <w:t xml:space="preserve"> (den ”</w:t>
            </w:r>
            <w:r w:rsidRPr="00272AD3">
              <w:rPr>
                <w:b/>
              </w:rPr>
              <w:t>Svenska</w:t>
            </w:r>
            <w:r>
              <w:t xml:space="preserve"> </w:t>
            </w:r>
            <w:r>
              <w:rPr>
                <w:b/>
              </w:rPr>
              <w:t>Filialen</w:t>
            </w:r>
            <w:r>
              <w:t xml:space="preserve">”). På samma sätt </w:t>
            </w:r>
            <w:r w:rsidR="003A7DB3">
              <w:t xml:space="preserve">avses </w:t>
            </w:r>
            <w:r>
              <w:t>det Överlåtande Bolagets verk</w:t>
            </w:r>
            <w:r w:rsidR="00317950">
              <w:softHyphen/>
            </w:r>
            <w:r>
              <w:t xml:space="preserve">samhet, i den utsträckning den härrör </w:t>
            </w:r>
            <w:r>
              <w:lastRenderedPageBreak/>
              <w:t>från</w:t>
            </w:r>
            <w:r w:rsidR="00F10197">
              <w:t xml:space="preserve"> </w:t>
            </w:r>
            <w:r w:rsidR="006E6148">
              <w:t>bl</w:t>
            </w:r>
            <w:r w:rsidR="00F33AC4">
              <w:t>.a.</w:t>
            </w:r>
            <w:r w:rsidR="006E6148">
              <w:t xml:space="preserve"> Danmark och Norge samt Estland, Kina, Polen</w:t>
            </w:r>
            <w:r w:rsidR="00B646F3">
              <w:t>,</w:t>
            </w:r>
            <w:r w:rsidR="006E6148">
              <w:t xml:space="preserve"> Singapore, Storbritannien, Tyskland och USA </w:t>
            </w:r>
            <w:r w:rsidR="00F10197">
              <w:t>(</w:t>
            </w:r>
            <w:r w:rsidR="006E6148">
              <w:t xml:space="preserve">tillsammans </w:t>
            </w:r>
            <w:r w:rsidR="00F10197" w:rsidRPr="006E6148">
              <w:rPr>
                <w:bCs/>
              </w:rPr>
              <w:t xml:space="preserve">de </w:t>
            </w:r>
            <w:r w:rsidR="006E6148" w:rsidRPr="006E6148">
              <w:rPr>
                <w:bCs/>
              </w:rPr>
              <w:t>”</w:t>
            </w:r>
            <w:r w:rsidR="00F10197">
              <w:rPr>
                <w:b/>
                <w:bCs/>
              </w:rPr>
              <w:t>Relevanta Jurisdiktionerna</w:t>
            </w:r>
            <w:r w:rsidR="00F10197">
              <w:t>”)</w:t>
            </w:r>
            <w:r>
              <w:t>, att bedriv</w:t>
            </w:r>
            <w:r w:rsidR="00341387">
              <w:t>a</w:t>
            </w:r>
            <w:r>
              <w:t xml:space="preserve">s av det </w:t>
            </w:r>
            <w:r w:rsidR="007553E5">
              <w:t xml:space="preserve">Fusionerade </w:t>
            </w:r>
            <w:r>
              <w:t xml:space="preserve">Bolaget genom nya filialer i </w:t>
            </w:r>
            <w:r w:rsidR="00F33AC4">
              <w:t xml:space="preserve">var och en av </w:t>
            </w:r>
            <w:r w:rsidR="00F10197">
              <w:t>de Relevanta Jurisdiktionerna</w:t>
            </w:r>
            <w:r>
              <w:t xml:space="preserve">. Den Svenska Filialen och de nya filialerna i </w:t>
            </w:r>
            <w:r w:rsidR="00F10197">
              <w:t>de Relevanta Jurisdiktionerna</w:t>
            </w:r>
            <w:r>
              <w:t xml:space="preserve"> benämns gemensamt ”</w:t>
            </w:r>
            <w:r w:rsidRPr="00191F8D">
              <w:rPr>
                <w:b/>
              </w:rPr>
              <w:t>Filialerna</w:t>
            </w:r>
            <w:r>
              <w:t>”.</w:t>
            </w:r>
          </w:p>
        </w:tc>
        <w:tc>
          <w:tcPr>
            <w:tcW w:w="103" w:type="pct"/>
          </w:tcPr>
          <w:p w14:paraId="2596F7B8" w14:textId="77777777" w:rsidR="00BB3DCA" w:rsidRDefault="00BB3DCA" w:rsidP="00BB3DCA">
            <w:pPr>
              <w:jc w:val="right"/>
            </w:pPr>
          </w:p>
        </w:tc>
        <w:tc>
          <w:tcPr>
            <w:tcW w:w="258" w:type="pct"/>
          </w:tcPr>
          <w:p w14:paraId="2BAA164D" w14:textId="77777777" w:rsidR="00BB3DCA" w:rsidRPr="00183FB3" w:rsidRDefault="00BB3DCA" w:rsidP="00BB3DCA">
            <w:r w:rsidRPr="00183FB3">
              <w:t>2.3</w:t>
            </w:r>
          </w:p>
        </w:tc>
        <w:tc>
          <w:tcPr>
            <w:tcW w:w="1342" w:type="pct"/>
          </w:tcPr>
          <w:p w14:paraId="37265440" w14:textId="23997DE7" w:rsidR="00BB3DCA" w:rsidRPr="00783945" w:rsidRDefault="00BB3DCA" w:rsidP="00F666CD">
            <w:pPr>
              <w:rPr>
                <w:lang w:val="en-GB"/>
              </w:rPr>
            </w:pPr>
            <w:r>
              <w:rPr>
                <w:lang w:val="en-GB"/>
              </w:rPr>
              <w:t xml:space="preserve">After the execution of the Merger, the business activities of the Transferor Company will, to the extent they originate from Sweden, </w:t>
            </w:r>
            <w:r w:rsidRPr="00BC77A3">
              <w:rPr>
                <w:lang w:val="en-GB"/>
              </w:rPr>
              <w:t>b</w:t>
            </w:r>
            <w:r>
              <w:rPr>
                <w:lang w:val="en-GB"/>
              </w:rPr>
              <w:t xml:space="preserve">e conducted by the </w:t>
            </w:r>
            <w:r w:rsidR="007553E5">
              <w:rPr>
                <w:lang w:val="en-GB"/>
              </w:rPr>
              <w:t xml:space="preserve">Merged </w:t>
            </w:r>
            <w:r>
              <w:rPr>
                <w:lang w:val="en-GB"/>
              </w:rPr>
              <w:t>Company through</w:t>
            </w:r>
            <w:r w:rsidR="009317D8">
              <w:rPr>
                <w:lang w:val="en-GB"/>
              </w:rPr>
              <w:t xml:space="preserve"> a branch in Sweden </w:t>
            </w:r>
            <w:r w:rsidR="00F415E9">
              <w:rPr>
                <w:lang w:val="en-GB"/>
              </w:rPr>
              <w:t xml:space="preserve">with the proposed </w:t>
            </w:r>
            <w:r w:rsidR="009317D8">
              <w:rPr>
                <w:lang w:val="en-GB"/>
              </w:rPr>
              <w:t>name</w:t>
            </w:r>
            <w:r>
              <w:rPr>
                <w:lang w:val="en-GB"/>
              </w:rPr>
              <w:t xml:space="preserve"> </w:t>
            </w:r>
            <w:r w:rsidR="00366413">
              <w:rPr>
                <w:lang w:val="en-GB"/>
              </w:rPr>
              <w:t xml:space="preserve">Nordea Bank </w:t>
            </w:r>
            <w:r w:rsidR="00F666CD">
              <w:rPr>
                <w:lang w:val="en-GB"/>
              </w:rPr>
              <w:t>Abp</w:t>
            </w:r>
            <w:r w:rsidR="00366413">
              <w:rPr>
                <w:lang w:val="en-GB"/>
              </w:rPr>
              <w:t xml:space="preserve">, </w:t>
            </w:r>
            <w:r w:rsidR="00AC1161">
              <w:rPr>
                <w:lang w:val="en-GB"/>
              </w:rPr>
              <w:t>Swedish branch</w:t>
            </w:r>
            <w:r>
              <w:rPr>
                <w:lang w:val="en-GB"/>
              </w:rPr>
              <w:t xml:space="preserve"> (the “</w:t>
            </w:r>
            <w:r w:rsidRPr="0042349A">
              <w:rPr>
                <w:b/>
                <w:lang w:val="en-GB"/>
              </w:rPr>
              <w:t>Swedish Branch</w:t>
            </w:r>
            <w:r>
              <w:rPr>
                <w:lang w:val="en-GB"/>
              </w:rPr>
              <w:t>”)</w:t>
            </w:r>
            <w:r w:rsidRPr="000F718B">
              <w:rPr>
                <w:lang w:val="en-GB"/>
              </w:rPr>
              <w:t>.</w:t>
            </w:r>
            <w:r>
              <w:rPr>
                <w:lang w:val="en-GB"/>
              </w:rPr>
              <w:t xml:space="preserve"> Correspondingly, the business activities of the Transferor Company, </w:t>
            </w:r>
            <w:r>
              <w:rPr>
                <w:lang w:val="en-GB"/>
              </w:rPr>
              <w:lastRenderedPageBreak/>
              <w:t>to the extent they originate from</w:t>
            </w:r>
            <w:r w:rsidR="00F33AC4">
              <w:rPr>
                <w:lang w:val="en-GB"/>
              </w:rPr>
              <w:t>, among other countries,</w:t>
            </w:r>
            <w:r>
              <w:rPr>
                <w:lang w:val="en-GB"/>
              </w:rPr>
              <w:t xml:space="preserve"> </w:t>
            </w:r>
            <w:r w:rsidR="00512A78">
              <w:rPr>
                <w:lang w:val="en-GB"/>
              </w:rPr>
              <w:t>Denmark</w:t>
            </w:r>
            <w:r w:rsidR="006E6148">
              <w:rPr>
                <w:lang w:val="en-GB"/>
              </w:rPr>
              <w:t xml:space="preserve"> and Norway as well as Estonia, </w:t>
            </w:r>
            <w:r w:rsidR="009D056D">
              <w:rPr>
                <w:lang w:val="en-GB"/>
              </w:rPr>
              <w:t xml:space="preserve">China, Poland, Singapore, </w:t>
            </w:r>
            <w:r w:rsidR="00F33AC4">
              <w:rPr>
                <w:lang w:val="en-GB"/>
              </w:rPr>
              <w:t>the United Kingdom</w:t>
            </w:r>
            <w:r w:rsidR="009D056D">
              <w:rPr>
                <w:lang w:val="en-GB"/>
              </w:rPr>
              <w:t xml:space="preserve">, Germany and the </w:t>
            </w:r>
            <w:r w:rsidR="00F33AC4">
              <w:rPr>
                <w:lang w:val="en-GB"/>
              </w:rPr>
              <w:t>USA</w:t>
            </w:r>
            <w:r w:rsidR="009D056D">
              <w:rPr>
                <w:lang w:val="en-GB"/>
              </w:rPr>
              <w:t xml:space="preserve"> (jointly the “</w:t>
            </w:r>
            <w:r w:rsidR="009D056D" w:rsidRPr="009D056D">
              <w:rPr>
                <w:b/>
                <w:lang w:val="en-GB"/>
              </w:rPr>
              <w:t>Relevant Jurisdictions</w:t>
            </w:r>
            <w:r w:rsidR="009D056D">
              <w:rPr>
                <w:lang w:val="en-GB"/>
              </w:rPr>
              <w:t>”)</w:t>
            </w:r>
            <w:r>
              <w:rPr>
                <w:lang w:val="en-GB"/>
              </w:rPr>
              <w:t xml:space="preserve">, </w:t>
            </w:r>
            <w:r w:rsidR="00F61537">
              <w:rPr>
                <w:lang w:val="en-GB"/>
              </w:rPr>
              <w:t xml:space="preserve">are intended to </w:t>
            </w:r>
            <w:r>
              <w:rPr>
                <w:lang w:val="en-GB"/>
              </w:rPr>
              <w:t xml:space="preserve">be conducted by the </w:t>
            </w:r>
            <w:r w:rsidR="007553E5">
              <w:rPr>
                <w:lang w:val="en-GB"/>
              </w:rPr>
              <w:t xml:space="preserve">Merged </w:t>
            </w:r>
            <w:r>
              <w:rPr>
                <w:lang w:val="en-GB"/>
              </w:rPr>
              <w:t xml:space="preserve">Company through new branches in each of </w:t>
            </w:r>
            <w:r w:rsidR="009D056D">
              <w:rPr>
                <w:lang w:val="en-GB"/>
              </w:rPr>
              <w:t>the Relevant Jurisdictions</w:t>
            </w:r>
            <w:r>
              <w:rPr>
                <w:lang w:val="en-GB"/>
              </w:rPr>
              <w:t xml:space="preserve">. The Swedish Branch and the new branches in </w:t>
            </w:r>
            <w:r w:rsidR="009D056D">
              <w:rPr>
                <w:lang w:val="en-GB"/>
              </w:rPr>
              <w:t xml:space="preserve">the Relevant Jurisdictions </w:t>
            </w:r>
            <w:r>
              <w:rPr>
                <w:lang w:val="en-GB"/>
              </w:rPr>
              <w:t>are jointly referred to as the “</w:t>
            </w:r>
            <w:r w:rsidRPr="000C6D01">
              <w:rPr>
                <w:b/>
                <w:lang w:val="en-GB"/>
              </w:rPr>
              <w:t>Branches</w:t>
            </w:r>
            <w:r>
              <w:rPr>
                <w:lang w:val="en-GB"/>
              </w:rPr>
              <w:t>”.</w:t>
            </w:r>
          </w:p>
        </w:tc>
        <w:tc>
          <w:tcPr>
            <w:tcW w:w="103" w:type="pct"/>
          </w:tcPr>
          <w:p w14:paraId="547AF1A4" w14:textId="77777777" w:rsidR="00BB3DCA" w:rsidRPr="00783945" w:rsidRDefault="00BB3DCA" w:rsidP="00BB3DCA">
            <w:pPr>
              <w:rPr>
                <w:lang w:val="en-GB"/>
              </w:rPr>
            </w:pPr>
          </w:p>
        </w:tc>
        <w:tc>
          <w:tcPr>
            <w:tcW w:w="257" w:type="pct"/>
          </w:tcPr>
          <w:p w14:paraId="0B950AFB" w14:textId="77777777" w:rsidR="00BB3DCA" w:rsidRPr="00ED75F9" w:rsidRDefault="00BB3DCA" w:rsidP="00BB3DCA">
            <w:pPr>
              <w:rPr>
                <w:rFonts w:asciiTheme="minorHAnsi" w:hAnsiTheme="minorHAnsi" w:cstheme="minorHAnsi"/>
                <w:szCs w:val="22"/>
                <w:lang w:val="en-GB"/>
              </w:rPr>
            </w:pPr>
            <w:r>
              <w:rPr>
                <w:lang w:val="en-GB"/>
              </w:rPr>
              <w:t>2.3</w:t>
            </w:r>
          </w:p>
        </w:tc>
        <w:tc>
          <w:tcPr>
            <w:tcW w:w="1338" w:type="pct"/>
          </w:tcPr>
          <w:p w14:paraId="6FD2EFF6" w14:textId="006E8294" w:rsidR="00BB3DCA" w:rsidRPr="004D453F" w:rsidRDefault="00BB3DCA" w:rsidP="00F415E9">
            <w:pPr>
              <w:rPr>
                <w:lang w:val="fi-FI"/>
              </w:rPr>
            </w:pPr>
            <w:r w:rsidRPr="00D907B1">
              <w:rPr>
                <w:rFonts w:asciiTheme="minorHAnsi" w:hAnsiTheme="minorHAnsi" w:cstheme="minorHAnsi"/>
                <w:lang w:val="fi-FI"/>
              </w:rPr>
              <w:t xml:space="preserve">Sulautumisen täytäntöönpanon jälkeen Sulautuvan Yhtiön liiketoimintoja, siinä laajuudessa kuin ne juontuvat </w:t>
            </w:r>
            <w:r>
              <w:rPr>
                <w:rFonts w:asciiTheme="minorHAnsi" w:hAnsiTheme="minorHAnsi" w:cstheme="minorHAnsi"/>
                <w:lang w:val="fi-FI"/>
              </w:rPr>
              <w:t>Ruotsista</w:t>
            </w:r>
            <w:r w:rsidRPr="00D907B1">
              <w:rPr>
                <w:rFonts w:asciiTheme="minorHAnsi" w:hAnsiTheme="minorHAnsi" w:cstheme="minorHAnsi"/>
                <w:lang w:val="fi-FI"/>
              </w:rPr>
              <w:t xml:space="preserve">, harjoitetaan </w:t>
            </w:r>
            <w:r w:rsidR="00D8737F">
              <w:rPr>
                <w:rFonts w:asciiTheme="minorHAnsi" w:hAnsiTheme="minorHAnsi" w:cstheme="minorHAnsi"/>
                <w:lang w:val="fi-FI"/>
              </w:rPr>
              <w:t xml:space="preserve">Sulautuneen </w:t>
            </w:r>
            <w:r w:rsidRPr="00D907B1">
              <w:rPr>
                <w:rFonts w:asciiTheme="minorHAnsi" w:hAnsiTheme="minorHAnsi" w:cstheme="minorHAnsi"/>
                <w:lang w:val="fi-FI"/>
              </w:rPr>
              <w:t xml:space="preserve">Yhtiön toimesta </w:t>
            </w:r>
            <w:r w:rsidR="00787583" w:rsidRPr="00F415E9">
              <w:rPr>
                <w:rFonts w:asciiTheme="minorHAnsi" w:hAnsiTheme="minorHAnsi" w:cstheme="minorHAnsi"/>
                <w:lang w:val="fi-FI"/>
              </w:rPr>
              <w:t>Nordea Bank Abp, Filial i Sverige</w:t>
            </w:r>
            <w:r w:rsidR="00D8737F">
              <w:rPr>
                <w:rFonts w:asciiTheme="minorHAnsi" w:hAnsiTheme="minorHAnsi" w:cstheme="minorHAnsi"/>
                <w:lang w:val="fi-FI"/>
              </w:rPr>
              <w:t xml:space="preserve"> -nimise</w:t>
            </w:r>
            <w:r w:rsidR="000442E7">
              <w:rPr>
                <w:rFonts w:asciiTheme="minorHAnsi" w:hAnsiTheme="minorHAnsi" w:cstheme="minorHAnsi"/>
                <w:lang w:val="fi-FI"/>
              </w:rPr>
              <w:t>ksi ehdotetu</w:t>
            </w:r>
            <w:r w:rsidR="00D8737F">
              <w:rPr>
                <w:rFonts w:asciiTheme="minorHAnsi" w:hAnsiTheme="minorHAnsi" w:cstheme="minorHAnsi"/>
                <w:lang w:val="fi-FI"/>
              </w:rPr>
              <w:t xml:space="preserve">n Ruotsin sivuliikkeen </w:t>
            </w:r>
            <w:r w:rsidRPr="00D907B1">
              <w:rPr>
                <w:rFonts w:asciiTheme="minorHAnsi" w:hAnsiTheme="minorHAnsi" w:cstheme="minorHAnsi"/>
                <w:lang w:val="fi-FI"/>
              </w:rPr>
              <w:t>(“</w:t>
            </w:r>
            <w:r w:rsidR="00172394" w:rsidRPr="00982A05">
              <w:rPr>
                <w:rFonts w:asciiTheme="minorHAnsi" w:hAnsiTheme="minorHAnsi" w:cstheme="minorHAnsi"/>
                <w:b/>
                <w:lang w:val="fi-FI"/>
              </w:rPr>
              <w:t>Ruotsin</w:t>
            </w:r>
            <w:r w:rsidR="00172394">
              <w:rPr>
                <w:rFonts w:asciiTheme="minorHAnsi" w:hAnsiTheme="minorHAnsi" w:cstheme="minorHAnsi"/>
                <w:lang w:val="fi-FI"/>
              </w:rPr>
              <w:t xml:space="preserve"> </w:t>
            </w:r>
            <w:r w:rsidRPr="00D907B1">
              <w:rPr>
                <w:rFonts w:asciiTheme="minorHAnsi" w:hAnsiTheme="minorHAnsi" w:cstheme="minorHAnsi"/>
                <w:b/>
                <w:lang w:val="fi-FI"/>
              </w:rPr>
              <w:t>Sivuliike</w:t>
            </w:r>
            <w:r w:rsidRPr="00D907B1">
              <w:rPr>
                <w:rFonts w:asciiTheme="minorHAnsi" w:hAnsiTheme="minorHAnsi" w:cstheme="minorHAnsi"/>
                <w:lang w:val="fi-FI"/>
              </w:rPr>
              <w:t>”) kautta</w:t>
            </w:r>
            <w:r>
              <w:rPr>
                <w:rFonts w:asciiTheme="minorHAnsi" w:hAnsiTheme="minorHAnsi" w:cstheme="minorHAnsi"/>
                <w:lang w:val="fi-FI"/>
              </w:rPr>
              <w:t>.</w:t>
            </w:r>
            <w:r w:rsidR="00E310B5">
              <w:rPr>
                <w:rFonts w:asciiTheme="minorHAnsi" w:hAnsiTheme="minorHAnsi" w:cstheme="minorHAnsi"/>
                <w:lang w:val="fi-FI"/>
              </w:rPr>
              <w:t xml:space="preserve"> Vastaavasti</w:t>
            </w:r>
            <w:r w:rsidR="00E310B5" w:rsidRPr="00E310B5">
              <w:rPr>
                <w:lang w:val="fi-FI"/>
              </w:rPr>
              <w:t xml:space="preserve"> Sulautuvan Yhtiön liiketoimintoja, siinä laajuudessa kuin ne juontuvat </w:t>
            </w:r>
            <w:r w:rsidR="00A550B2">
              <w:rPr>
                <w:lang w:val="fi-FI"/>
              </w:rPr>
              <w:lastRenderedPageBreak/>
              <w:t xml:space="preserve">muiden muassa </w:t>
            </w:r>
            <w:r w:rsidR="00E310B5">
              <w:rPr>
                <w:lang w:val="fi-FI"/>
              </w:rPr>
              <w:t>Tanskasta ja Norjasta</w:t>
            </w:r>
            <w:r w:rsidR="00A550B2">
              <w:rPr>
                <w:lang w:val="fi-FI"/>
              </w:rPr>
              <w:t xml:space="preserve"> sekä Virost</w:t>
            </w:r>
            <w:r w:rsidR="00A550B2" w:rsidRPr="00A550B2">
              <w:rPr>
                <w:lang w:val="fi-FI"/>
              </w:rPr>
              <w:t>a, Kiinas</w:t>
            </w:r>
            <w:r w:rsidR="00A550B2">
              <w:rPr>
                <w:lang w:val="fi-FI"/>
              </w:rPr>
              <w:t>t</w:t>
            </w:r>
            <w:r w:rsidR="00A550B2" w:rsidRPr="00A550B2">
              <w:rPr>
                <w:lang w:val="fi-FI"/>
              </w:rPr>
              <w:t>a, Puolas</w:t>
            </w:r>
            <w:r w:rsidR="00A550B2">
              <w:rPr>
                <w:lang w:val="fi-FI"/>
              </w:rPr>
              <w:t>t</w:t>
            </w:r>
            <w:r w:rsidR="00A550B2" w:rsidRPr="00A550B2">
              <w:rPr>
                <w:lang w:val="fi-FI"/>
              </w:rPr>
              <w:t>a, Singapores</w:t>
            </w:r>
            <w:r w:rsidR="00A550B2">
              <w:rPr>
                <w:lang w:val="fi-FI"/>
              </w:rPr>
              <w:t>t</w:t>
            </w:r>
            <w:r w:rsidR="00A550B2" w:rsidRPr="00A550B2">
              <w:rPr>
                <w:lang w:val="fi-FI"/>
              </w:rPr>
              <w:t>a, Isos</w:t>
            </w:r>
            <w:r w:rsidR="00A550B2">
              <w:rPr>
                <w:lang w:val="fi-FI"/>
              </w:rPr>
              <w:t>t</w:t>
            </w:r>
            <w:r w:rsidR="00A550B2" w:rsidRPr="00A550B2">
              <w:rPr>
                <w:lang w:val="fi-FI"/>
              </w:rPr>
              <w:t>a-Britannias</w:t>
            </w:r>
            <w:r w:rsidR="00A550B2">
              <w:rPr>
                <w:lang w:val="fi-FI"/>
              </w:rPr>
              <w:t>t</w:t>
            </w:r>
            <w:r w:rsidR="00A550B2" w:rsidRPr="00A550B2">
              <w:rPr>
                <w:lang w:val="fi-FI"/>
              </w:rPr>
              <w:t>a, Saksas</w:t>
            </w:r>
            <w:r w:rsidR="00A550B2">
              <w:rPr>
                <w:lang w:val="fi-FI"/>
              </w:rPr>
              <w:t>t</w:t>
            </w:r>
            <w:r w:rsidR="00A550B2" w:rsidRPr="00A550B2">
              <w:rPr>
                <w:lang w:val="fi-FI"/>
              </w:rPr>
              <w:t>a ja Amerikan Yhdysvallois</w:t>
            </w:r>
            <w:r w:rsidR="00A550B2">
              <w:rPr>
                <w:lang w:val="fi-FI"/>
              </w:rPr>
              <w:t>t</w:t>
            </w:r>
            <w:r w:rsidR="00A550B2" w:rsidRPr="00A550B2">
              <w:rPr>
                <w:lang w:val="fi-FI"/>
              </w:rPr>
              <w:t>a (yhdessä ”</w:t>
            </w:r>
            <w:r w:rsidR="00A550B2" w:rsidRPr="0074713A">
              <w:rPr>
                <w:b/>
                <w:lang w:val="fi-FI"/>
              </w:rPr>
              <w:t>Relevantit Maat</w:t>
            </w:r>
            <w:r w:rsidR="00A550B2" w:rsidRPr="00A550B2">
              <w:rPr>
                <w:lang w:val="fi-FI"/>
              </w:rPr>
              <w:t>”)</w:t>
            </w:r>
            <w:r w:rsidR="00E310B5">
              <w:rPr>
                <w:lang w:val="fi-FI"/>
              </w:rPr>
              <w:t xml:space="preserve">, </w:t>
            </w:r>
            <w:r w:rsidR="00E310B5" w:rsidRPr="00E310B5">
              <w:rPr>
                <w:lang w:val="fi-FI"/>
              </w:rPr>
              <w:t xml:space="preserve">tullaan jatkossa harjoittamaan </w:t>
            </w:r>
            <w:r w:rsidR="003E01D5">
              <w:rPr>
                <w:lang w:val="fi-FI"/>
              </w:rPr>
              <w:t xml:space="preserve">Sulautuneen </w:t>
            </w:r>
            <w:r w:rsidR="00E310B5" w:rsidRPr="00E310B5">
              <w:rPr>
                <w:lang w:val="fi-FI"/>
              </w:rPr>
              <w:t>Yhtiön toimesta uu</w:t>
            </w:r>
            <w:r w:rsidR="00E310B5">
              <w:rPr>
                <w:lang w:val="fi-FI"/>
              </w:rPr>
              <w:t>sien</w:t>
            </w:r>
            <w:r w:rsidR="00E310B5" w:rsidRPr="00E310B5">
              <w:rPr>
                <w:lang w:val="fi-FI"/>
              </w:rPr>
              <w:t xml:space="preserve"> sivuliikkeiden </w:t>
            </w:r>
            <w:r w:rsidR="007553E5">
              <w:rPr>
                <w:lang w:val="fi-FI"/>
              </w:rPr>
              <w:t>kautta</w:t>
            </w:r>
            <w:r w:rsidR="007553E5" w:rsidRPr="00E310B5">
              <w:rPr>
                <w:lang w:val="fi-FI"/>
              </w:rPr>
              <w:t xml:space="preserve"> </w:t>
            </w:r>
            <w:r w:rsidR="0074713A">
              <w:rPr>
                <w:lang w:val="fi-FI"/>
              </w:rPr>
              <w:t>Relevanteissa maissa</w:t>
            </w:r>
            <w:r w:rsidR="00E310B5" w:rsidRPr="00E310B5">
              <w:rPr>
                <w:lang w:val="fi-FI"/>
              </w:rPr>
              <w:t xml:space="preserve">. Ruotsin Sivuliikettä sekä uusia sivuliikkeitä </w:t>
            </w:r>
            <w:r w:rsidR="00A550B2" w:rsidRPr="00A550B2">
              <w:rPr>
                <w:lang w:val="fi-FI"/>
              </w:rPr>
              <w:t xml:space="preserve">Relevanteissa maissa </w:t>
            </w:r>
            <w:r w:rsidR="00E310B5" w:rsidRPr="00E310B5">
              <w:rPr>
                <w:lang w:val="fi-FI"/>
              </w:rPr>
              <w:t>kutsutaan yhdessä ”</w:t>
            </w:r>
            <w:r w:rsidR="00E310B5" w:rsidRPr="00982A05">
              <w:rPr>
                <w:b/>
                <w:lang w:val="fi-FI"/>
              </w:rPr>
              <w:t>Sivuliikkeiksi</w:t>
            </w:r>
            <w:r w:rsidR="00E310B5" w:rsidRPr="00E310B5">
              <w:rPr>
                <w:lang w:val="fi-FI"/>
              </w:rPr>
              <w:t>”.</w:t>
            </w:r>
          </w:p>
        </w:tc>
      </w:tr>
      <w:tr w:rsidR="00D56D80" w:rsidRPr="0048638F" w14:paraId="78EB3E9E" w14:textId="77777777" w:rsidTr="00317950">
        <w:tc>
          <w:tcPr>
            <w:tcW w:w="258" w:type="pct"/>
          </w:tcPr>
          <w:p w14:paraId="36CBF4A7" w14:textId="5DAC3F8C" w:rsidR="00AB307D" w:rsidRDefault="00AB307D" w:rsidP="00AB307D">
            <w:pPr>
              <w:pStyle w:val="Rubrik1"/>
              <w:keepNext w:val="0"/>
              <w:numPr>
                <w:ilvl w:val="0"/>
                <w:numId w:val="0"/>
              </w:numPr>
              <w:rPr>
                <w:rFonts w:asciiTheme="minorHAnsi" w:hAnsiTheme="minorHAnsi" w:cstheme="minorHAnsi"/>
                <w:b w:val="0"/>
                <w:szCs w:val="22"/>
                <w:lang w:val="en-GB"/>
              </w:rPr>
            </w:pPr>
            <w:bookmarkStart w:id="2" w:name="_Ref436899952"/>
            <w:r>
              <w:rPr>
                <w:rFonts w:asciiTheme="minorHAnsi" w:hAnsiTheme="minorHAnsi" w:cstheme="minorHAnsi"/>
                <w:b w:val="0"/>
                <w:szCs w:val="22"/>
                <w:lang w:val="en-GB"/>
              </w:rPr>
              <w:lastRenderedPageBreak/>
              <w:t>2.4</w:t>
            </w:r>
            <w:bookmarkEnd w:id="2"/>
          </w:p>
        </w:tc>
        <w:tc>
          <w:tcPr>
            <w:tcW w:w="1341" w:type="pct"/>
          </w:tcPr>
          <w:p w14:paraId="49757958" w14:textId="142B0473" w:rsidR="00AB307D" w:rsidRDefault="00AB307D" w:rsidP="00AB307D">
            <w:pPr>
              <w:pStyle w:val="Normalmedindrag"/>
              <w:tabs>
                <w:tab w:val="left" w:pos="3402"/>
              </w:tabs>
              <w:ind w:left="0"/>
            </w:pPr>
            <w:r>
              <w:t>Efter verkställandet av Fusionen kommer den verksamhet som i dag bedrivs av det Överlåtande Bolaget, i den utsträckning den härrör från Finland, att fortsätta bedrivas av det Fusionerade Bolaget utan förändr</w:t>
            </w:r>
            <w:r w:rsidR="004364FB">
              <w:softHyphen/>
            </w:r>
            <w:r>
              <w:t xml:space="preserve">ingar med anledning av Fusionen. Som en följd av Fusionen kommer </w:t>
            </w:r>
            <w:r w:rsidR="004364FB">
              <w:t>Nordea Bank AB (publ), filial i </w:t>
            </w:r>
            <w:r>
              <w:t>Finland (FO</w:t>
            </w:r>
            <w:r w:rsidR="00366413">
              <w:noBreakHyphen/>
            </w:r>
            <w:r>
              <w:t>nummer: 1703218-0) att stängas ned, vilket kommer att anmälas för registrering i samband med verk</w:t>
            </w:r>
            <w:r w:rsidR="00317950">
              <w:softHyphen/>
            </w:r>
            <w:r>
              <w:lastRenderedPageBreak/>
              <w:t>ställandet av Fusionen.</w:t>
            </w:r>
            <w:r w:rsidR="009D056D">
              <w:t xml:space="preserve"> Även det Överlåtande Bolagets övriga filialer kommer att stängas ned som en följd av Fusionen.</w:t>
            </w:r>
          </w:p>
        </w:tc>
        <w:tc>
          <w:tcPr>
            <w:tcW w:w="103" w:type="pct"/>
          </w:tcPr>
          <w:p w14:paraId="3ABCF42B" w14:textId="77777777" w:rsidR="00AB307D" w:rsidRDefault="00AB307D" w:rsidP="00AB307D">
            <w:pPr>
              <w:jc w:val="right"/>
            </w:pPr>
          </w:p>
        </w:tc>
        <w:tc>
          <w:tcPr>
            <w:tcW w:w="258" w:type="pct"/>
          </w:tcPr>
          <w:p w14:paraId="7DEFEF3B" w14:textId="77777777" w:rsidR="00AB307D" w:rsidRDefault="00AB307D" w:rsidP="00AB307D">
            <w:r>
              <w:t>2.4</w:t>
            </w:r>
          </w:p>
        </w:tc>
        <w:tc>
          <w:tcPr>
            <w:tcW w:w="1342" w:type="pct"/>
          </w:tcPr>
          <w:p w14:paraId="78B9B3ED" w14:textId="7121BBD6" w:rsidR="00AB307D" w:rsidRDefault="00AB307D" w:rsidP="009317D8">
            <w:pPr>
              <w:rPr>
                <w:rFonts w:asciiTheme="majorHAnsi" w:hAnsiTheme="majorHAnsi" w:cstheme="majorHAnsi"/>
                <w:sz w:val="20"/>
                <w:lang w:val="en-GB"/>
              </w:rPr>
            </w:pPr>
            <w:r>
              <w:rPr>
                <w:lang w:val="en-GB"/>
              </w:rPr>
              <w:t xml:space="preserve">After the execution of the Merger, the business activities </w:t>
            </w:r>
            <w:r w:rsidR="009317D8">
              <w:rPr>
                <w:lang w:val="en-GB"/>
              </w:rPr>
              <w:t xml:space="preserve">today conducted by </w:t>
            </w:r>
            <w:r>
              <w:rPr>
                <w:lang w:val="en-GB"/>
              </w:rPr>
              <w:t xml:space="preserve">the Transferor Company will, to the extent they originate from Finland, </w:t>
            </w:r>
            <w:r w:rsidRPr="00E33F82">
              <w:rPr>
                <w:lang w:val="en-GB"/>
              </w:rPr>
              <w:t>continue to be conducted by the Merged Company without any changes due to the Merger</w:t>
            </w:r>
            <w:r>
              <w:rPr>
                <w:lang w:val="en-GB"/>
              </w:rPr>
              <w:t>. As a result of the Merger, Nordea Bank AB (publ), Finnish branch (business ID 1703218-</w:t>
            </w:r>
            <w:r w:rsidR="00F3361A">
              <w:rPr>
                <w:lang w:val="en-GB"/>
              </w:rPr>
              <w:t>0</w:t>
            </w:r>
            <w:r>
              <w:rPr>
                <w:lang w:val="en-GB"/>
              </w:rPr>
              <w:t>) will be closed down, which will be notified for registration in connection with the execution of the Merger.</w:t>
            </w:r>
            <w:r w:rsidR="009D056D">
              <w:rPr>
                <w:lang w:val="en-GB"/>
              </w:rPr>
              <w:t xml:space="preserve"> The </w:t>
            </w:r>
            <w:r w:rsidR="009D056D">
              <w:rPr>
                <w:lang w:val="en-GB"/>
              </w:rPr>
              <w:lastRenderedPageBreak/>
              <w:t>Transferor Company’s other branches will also be closed down as a result of the Merger.</w:t>
            </w:r>
          </w:p>
        </w:tc>
        <w:tc>
          <w:tcPr>
            <w:tcW w:w="103" w:type="pct"/>
          </w:tcPr>
          <w:p w14:paraId="073870EE" w14:textId="77777777" w:rsidR="00AB307D" w:rsidRDefault="00AB307D" w:rsidP="00AB307D">
            <w:pPr>
              <w:rPr>
                <w:lang w:val="en-GB"/>
              </w:rPr>
            </w:pPr>
          </w:p>
        </w:tc>
        <w:tc>
          <w:tcPr>
            <w:tcW w:w="257" w:type="pct"/>
          </w:tcPr>
          <w:p w14:paraId="1B51083F" w14:textId="77777777" w:rsidR="00AB307D" w:rsidRPr="00ED75F9" w:rsidRDefault="00AB307D" w:rsidP="00AB307D">
            <w:pPr>
              <w:rPr>
                <w:rFonts w:asciiTheme="minorHAnsi" w:hAnsiTheme="minorHAnsi" w:cstheme="minorHAnsi"/>
                <w:szCs w:val="22"/>
                <w:lang w:val="en-GB"/>
              </w:rPr>
            </w:pPr>
            <w:r>
              <w:t>2.4</w:t>
            </w:r>
          </w:p>
        </w:tc>
        <w:tc>
          <w:tcPr>
            <w:tcW w:w="1338" w:type="pct"/>
          </w:tcPr>
          <w:p w14:paraId="0EB60BB1" w14:textId="23D7BEC9" w:rsidR="00AB307D" w:rsidRPr="00D907B1" w:rsidRDefault="00AB307D" w:rsidP="0028171E">
            <w:pPr>
              <w:rPr>
                <w:rFonts w:asciiTheme="majorHAnsi" w:hAnsiTheme="majorHAnsi" w:cstheme="majorHAnsi"/>
                <w:sz w:val="20"/>
                <w:lang w:val="fi-FI"/>
              </w:rPr>
            </w:pPr>
            <w:r w:rsidRPr="00C11034">
              <w:rPr>
                <w:rFonts w:asciiTheme="minorHAnsi" w:hAnsiTheme="minorHAnsi" w:cstheme="minorHAnsi"/>
                <w:lang w:val="fi-FI"/>
              </w:rPr>
              <w:t xml:space="preserve">Sulautumisen </w:t>
            </w:r>
            <w:r w:rsidR="00E310B5">
              <w:rPr>
                <w:rFonts w:asciiTheme="minorHAnsi" w:hAnsiTheme="minorHAnsi" w:cstheme="minorHAnsi"/>
                <w:lang w:val="fi-FI"/>
              </w:rPr>
              <w:t>t</w:t>
            </w:r>
            <w:r w:rsidRPr="00C11034">
              <w:rPr>
                <w:rFonts w:asciiTheme="minorHAnsi" w:hAnsiTheme="minorHAnsi" w:cstheme="minorHAnsi"/>
                <w:lang w:val="fi-FI"/>
              </w:rPr>
              <w:t>äytäntöönpanon jälkeen Sulautuvan Yhtiön</w:t>
            </w:r>
            <w:r w:rsidR="00D8737F">
              <w:rPr>
                <w:rFonts w:asciiTheme="minorHAnsi" w:hAnsiTheme="minorHAnsi" w:cstheme="minorHAnsi"/>
                <w:lang w:val="fi-FI"/>
              </w:rPr>
              <w:t xml:space="preserve"> tällä hetkellä harjoittamia </w:t>
            </w:r>
            <w:r w:rsidRPr="00C11034">
              <w:rPr>
                <w:rFonts w:asciiTheme="minorHAnsi" w:hAnsiTheme="minorHAnsi" w:cstheme="minorHAnsi"/>
                <w:lang w:val="fi-FI"/>
              </w:rPr>
              <w:t xml:space="preserve">liiketoimintoja, siinä laajuudessa kuin ne juontuvat </w:t>
            </w:r>
            <w:r w:rsidR="00E310B5">
              <w:rPr>
                <w:rFonts w:asciiTheme="minorHAnsi" w:hAnsiTheme="minorHAnsi" w:cstheme="minorHAnsi"/>
                <w:lang w:val="fi-FI"/>
              </w:rPr>
              <w:t>Suomesta</w:t>
            </w:r>
            <w:r>
              <w:rPr>
                <w:rFonts w:asciiTheme="minorHAnsi" w:hAnsiTheme="minorHAnsi" w:cstheme="minorHAnsi"/>
                <w:lang w:val="fi-FI"/>
              </w:rPr>
              <w:t xml:space="preserve">, </w:t>
            </w:r>
            <w:r w:rsidR="0028171E">
              <w:rPr>
                <w:rFonts w:asciiTheme="minorHAnsi" w:hAnsiTheme="minorHAnsi" w:cstheme="minorHAnsi"/>
                <w:lang w:val="fi-FI"/>
              </w:rPr>
              <w:t xml:space="preserve">harjoitetaan </w:t>
            </w:r>
            <w:r>
              <w:rPr>
                <w:rFonts w:asciiTheme="minorHAnsi" w:hAnsiTheme="minorHAnsi" w:cstheme="minorHAnsi"/>
                <w:lang w:val="fi-FI"/>
              </w:rPr>
              <w:t>jatkossa</w:t>
            </w:r>
            <w:r w:rsidRPr="00C11034">
              <w:rPr>
                <w:rFonts w:asciiTheme="minorHAnsi" w:hAnsiTheme="minorHAnsi" w:cstheme="minorHAnsi"/>
                <w:lang w:val="fi-FI"/>
              </w:rPr>
              <w:t xml:space="preserve"> Sulautuneen Yhtiön toimesta</w:t>
            </w:r>
            <w:r w:rsidR="0028171E">
              <w:rPr>
                <w:rFonts w:asciiTheme="minorHAnsi" w:hAnsiTheme="minorHAnsi" w:cstheme="minorHAnsi"/>
                <w:lang w:val="fi-FI"/>
              </w:rPr>
              <w:t>,</w:t>
            </w:r>
            <w:r w:rsidRPr="00C11034">
              <w:rPr>
                <w:rFonts w:asciiTheme="minorHAnsi" w:hAnsiTheme="minorHAnsi" w:cstheme="minorHAnsi"/>
                <w:lang w:val="fi-FI"/>
              </w:rPr>
              <w:t xml:space="preserve"> ilman Sulautumisesta johtuvia muutoksia. </w:t>
            </w:r>
            <w:r w:rsidR="00E310B5">
              <w:rPr>
                <w:rFonts w:asciiTheme="minorHAnsi" w:hAnsiTheme="minorHAnsi" w:cstheme="minorHAnsi"/>
                <w:lang w:val="fi-FI"/>
              </w:rPr>
              <w:t>Sulautumisen seurauksena</w:t>
            </w:r>
            <w:r w:rsidR="00E310B5" w:rsidRPr="00E310B5">
              <w:rPr>
                <w:rFonts w:asciiTheme="minorHAnsi" w:hAnsiTheme="minorHAnsi" w:cstheme="minorHAnsi"/>
                <w:lang w:val="fi-FI"/>
              </w:rPr>
              <w:t xml:space="preserve"> Nordea Bank AB (publ), Suomen sivuliike (</w:t>
            </w:r>
            <w:r w:rsidR="00F3361A">
              <w:rPr>
                <w:rFonts w:asciiTheme="minorHAnsi" w:hAnsiTheme="minorHAnsi" w:cstheme="minorHAnsi"/>
                <w:lang w:val="fi-FI"/>
              </w:rPr>
              <w:t>Y</w:t>
            </w:r>
            <w:r w:rsidR="00E310B5" w:rsidRPr="00E310B5">
              <w:rPr>
                <w:rFonts w:asciiTheme="minorHAnsi" w:hAnsiTheme="minorHAnsi" w:cstheme="minorHAnsi"/>
                <w:lang w:val="fi-FI"/>
              </w:rPr>
              <w:t>-tunnus 1703218-</w:t>
            </w:r>
            <w:r w:rsidR="00F3361A">
              <w:rPr>
                <w:rFonts w:asciiTheme="minorHAnsi" w:hAnsiTheme="minorHAnsi" w:cstheme="minorHAnsi"/>
                <w:lang w:val="fi-FI"/>
              </w:rPr>
              <w:t>0</w:t>
            </w:r>
            <w:r w:rsidR="00E310B5" w:rsidRPr="00E310B5">
              <w:rPr>
                <w:rFonts w:asciiTheme="minorHAnsi" w:hAnsiTheme="minorHAnsi" w:cstheme="minorHAnsi"/>
                <w:lang w:val="fi-FI"/>
              </w:rPr>
              <w:t xml:space="preserve">) lopetetaan, </w:t>
            </w:r>
            <w:r w:rsidR="00AE6D6C">
              <w:rPr>
                <w:rFonts w:asciiTheme="minorHAnsi" w:hAnsiTheme="minorHAnsi" w:cstheme="minorHAnsi"/>
                <w:lang w:val="fi-FI"/>
              </w:rPr>
              <w:t>mikä</w:t>
            </w:r>
            <w:r w:rsidR="00AE6D6C" w:rsidRPr="00E310B5">
              <w:rPr>
                <w:rFonts w:asciiTheme="minorHAnsi" w:hAnsiTheme="minorHAnsi" w:cstheme="minorHAnsi"/>
                <w:lang w:val="fi-FI"/>
              </w:rPr>
              <w:t xml:space="preserve"> </w:t>
            </w:r>
            <w:r w:rsidR="00E310B5" w:rsidRPr="00E310B5">
              <w:rPr>
                <w:rFonts w:asciiTheme="minorHAnsi" w:hAnsiTheme="minorHAnsi" w:cstheme="minorHAnsi"/>
                <w:lang w:val="fi-FI"/>
              </w:rPr>
              <w:t xml:space="preserve">ilmoitetaan rekisteröitäväksi Sulautumisen täytäntöönpanon </w:t>
            </w:r>
            <w:r w:rsidR="00E310B5" w:rsidRPr="00E310B5">
              <w:rPr>
                <w:rFonts w:asciiTheme="minorHAnsi" w:hAnsiTheme="minorHAnsi" w:cstheme="minorHAnsi"/>
                <w:lang w:val="fi-FI"/>
              </w:rPr>
              <w:lastRenderedPageBreak/>
              <w:t>yhteydessä.</w:t>
            </w:r>
            <w:r w:rsidR="00A550B2" w:rsidRPr="0074713A">
              <w:rPr>
                <w:lang w:val="fi-FI"/>
              </w:rPr>
              <w:t xml:space="preserve"> </w:t>
            </w:r>
            <w:r w:rsidR="00A550B2" w:rsidRPr="00A550B2">
              <w:rPr>
                <w:rFonts w:asciiTheme="minorHAnsi" w:hAnsiTheme="minorHAnsi" w:cstheme="minorHAnsi"/>
                <w:lang w:val="fi-FI"/>
              </w:rPr>
              <w:t>Myös muut Sulautuvan Yhtiön sivuliikkeet tullaan lopettamaan Sulautumisen seurauksena.</w:t>
            </w:r>
          </w:p>
        </w:tc>
      </w:tr>
      <w:tr w:rsidR="00D56D80" w:rsidRPr="00890B1B" w14:paraId="1F894315" w14:textId="77777777" w:rsidTr="00317950">
        <w:tc>
          <w:tcPr>
            <w:tcW w:w="258" w:type="pct"/>
          </w:tcPr>
          <w:p w14:paraId="73CE31E0" w14:textId="77777777" w:rsidR="00AB307D" w:rsidRPr="00982A05" w:rsidRDefault="00AB307D" w:rsidP="004364FB">
            <w:pPr>
              <w:keepNext/>
              <w:spacing w:after="60"/>
              <w:rPr>
                <w:rFonts w:asciiTheme="minorHAnsi" w:hAnsiTheme="minorHAnsi" w:cstheme="minorHAnsi"/>
                <w:b/>
                <w:szCs w:val="22"/>
                <w:lang w:val="fi-FI"/>
              </w:rPr>
            </w:pPr>
            <w:r w:rsidRPr="00982A05">
              <w:rPr>
                <w:rFonts w:asciiTheme="majorHAnsi" w:hAnsiTheme="majorHAnsi" w:cstheme="majorHAnsi"/>
                <w:b/>
                <w:szCs w:val="22"/>
                <w:lang w:val="fi-FI"/>
              </w:rPr>
              <w:lastRenderedPageBreak/>
              <w:t>3.</w:t>
            </w:r>
          </w:p>
        </w:tc>
        <w:tc>
          <w:tcPr>
            <w:tcW w:w="1341" w:type="pct"/>
          </w:tcPr>
          <w:p w14:paraId="485C4F97" w14:textId="77777777" w:rsidR="00AB307D" w:rsidRPr="00C47970" w:rsidRDefault="00AB307D" w:rsidP="004364FB">
            <w:pPr>
              <w:keepNext/>
              <w:spacing w:after="60"/>
              <w:rPr>
                <w:szCs w:val="22"/>
              </w:rPr>
            </w:pPr>
            <w:r w:rsidRPr="00C47970">
              <w:rPr>
                <w:rFonts w:asciiTheme="majorHAnsi" w:hAnsiTheme="majorHAnsi" w:cstheme="majorHAnsi"/>
                <w:b/>
                <w:szCs w:val="22"/>
              </w:rPr>
              <w:t>Väsentliga omständigheter vid bedömningen av Fusionens lämplighet</w:t>
            </w:r>
          </w:p>
        </w:tc>
        <w:tc>
          <w:tcPr>
            <w:tcW w:w="103" w:type="pct"/>
          </w:tcPr>
          <w:p w14:paraId="18663F61" w14:textId="77777777" w:rsidR="00AB307D" w:rsidRPr="00C47970" w:rsidRDefault="00AB307D" w:rsidP="004364FB">
            <w:pPr>
              <w:keepNext/>
              <w:spacing w:after="60"/>
              <w:jc w:val="right"/>
              <w:rPr>
                <w:szCs w:val="22"/>
              </w:rPr>
            </w:pPr>
          </w:p>
        </w:tc>
        <w:tc>
          <w:tcPr>
            <w:tcW w:w="258" w:type="pct"/>
          </w:tcPr>
          <w:p w14:paraId="259A38D1" w14:textId="77777777" w:rsidR="00AB307D" w:rsidRPr="00982A05" w:rsidRDefault="00AB307D" w:rsidP="004364FB">
            <w:pPr>
              <w:keepNext/>
              <w:spacing w:after="60"/>
              <w:rPr>
                <w:szCs w:val="22"/>
                <w:lang w:val="fi-FI"/>
              </w:rPr>
            </w:pPr>
            <w:r w:rsidRPr="00982A05">
              <w:rPr>
                <w:rFonts w:asciiTheme="majorHAnsi" w:hAnsiTheme="majorHAnsi" w:cstheme="majorHAnsi"/>
                <w:b/>
                <w:szCs w:val="22"/>
                <w:lang w:val="fi-FI"/>
              </w:rPr>
              <w:t>3.</w:t>
            </w:r>
          </w:p>
        </w:tc>
        <w:tc>
          <w:tcPr>
            <w:tcW w:w="1342" w:type="pct"/>
          </w:tcPr>
          <w:p w14:paraId="288275D4" w14:textId="77777777" w:rsidR="00AB307D" w:rsidRDefault="00AB307D" w:rsidP="004364FB">
            <w:pPr>
              <w:pStyle w:val="Listanumrerad"/>
              <w:keepNext/>
              <w:numPr>
                <w:ilvl w:val="0"/>
                <w:numId w:val="0"/>
              </w:numPr>
              <w:spacing w:after="60"/>
              <w:rPr>
                <w:szCs w:val="22"/>
                <w:lang w:val="en-GB"/>
              </w:rPr>
            </w:pPr>
            <w:r w:rsidRPr="00C47970">
              <w:rPr>
                <w:rFonts w:asciiTheme="majorHAnsi" w:hAnsiTheme="majorHAnsi" w:cstheme="majorHAnsi"/>
                <w:b/>
                <w:szCs w:val="22"/>
                <w:lang w:val="en-GB"/>
              </w:rPr>
              <w:t>Circumstances material for the assessment of the suit</w:t>
            </w:r>
            <w:r w:rsidRPr="007562C2">
              <w:rPr>
                <w:rFonts w:asciiTheme="majorHAnsi" w:hAnsiTheme="majorHAnsi" w:cstheme="majorHAnsi"/>
                <w:b/>
                <w:szCs w:val="22"/>
                <w:lang w:val="en-GB"/>
              </w:rPr>
              <w:t>ability of the Merger</w:t>
            </w:r>
          </w:p>
        </w:tc>
        <w:tc>
          <w:tcPr>
            <w:tcW w:w="103" w:type="pct"/>
          </w:tcPr>
          <w:p w14:paraId="2FEF1FEE" w14:textId="77777777" w:rsidR="00AB307D" w:rsidRDefault="00AB307D" w:rsidP="004364FB">
            <w:pPr>
              <w:pStyle w:val="Listanumrerad"/>
              <w:keepNext/>
              <w:numPr>
                <w:ilvl w:val="0"/>
                <w:numId w:val="0"/>
              </w:numPr>
              <w:spacing w:after="60"/>
              <w:rPr>
                <w:rFonts w:asciiTheme="majorHAnsi" w:hAnsiTheme="majorHAnsi" w:cstheme="majorHAnsi"/>
                <w:b/>
                <w:szCs w:val="22"/>
                <w:lang w:val="en-GB"/>
              </w:rPr>
            </w:pPr>
          </w:p>
        </w:tc>
        <w:tc>
          <w:tcPr>
            <w:tcW w:w="257" w:type="pct"/>
          </w:tcPr>
          <w:p w14:paraId="03A8C61B" w14:textId="77777777" w:rsidR="00AB307D" w:rsidRPr="00ED75F9" w:rsidRDefault="00AB307D" w:rsidP="004364FB">
            <w:pPr>
              <w:pStyle w:val="Listanumrerad"/>
              <w:keepNext/>
              <w:numPr>
                <w:ilvl w:val="0"/>
                <w:numId w:val="0"/>
              </w:numPr>
              <w:spacing w:after="60"/>
              <w:rPr>
                <w:rFonts w:asciiTheme="minorHAnsi" w:hAnsiTheme="minorHAnsi" w:cstheme="minorHAnsi"/>
                <w:b/>
                <w:szCs w:val="22"/>
                <w:lang w:val="en-GB"/>
              </w:rPr>
            </w:pPr>
            <w:r>
              <w:rPr>
                <w:rFonts w:asciiTheme="majorHAnsi" w:hAnsiTheme="majorHAnsi" w:cstheme="majorHAnsi"/>
                <w:b/>
                <w:szCs w:val="22"/>
              </w:rPr>
              <w:t>3.</w:t>
            </w:r>
          </w:p>
        </w:tc>
        <w:tc>
          <w:tcPr>
            <w:tcW w:w="1338" w:type="pct"/>
          </w:tcPr>
          <w:p w14:paraId="7CC4A8B6" w14:textId="77777777" w:rsidR="00AB307D" w:rsidRPr="00D907B1" w:rsidRDefault="00AB307D" w:rsidP="004364FB">
            <w:pPr>
              <w:pStyle w:val="Listanumrerad"/>
              <w:keepNext/>
              <w:numPr>
                <w:ilvl w:val="0"/>
                <w:numId w:val="0"/>
              </w:numPr>
              <w:spacing w:after="60"/>
              <w:rPr>
                <w:szCs w:val="22"/>
                <w:lang w:val="fi-FI"/>
              </w:rPr>
            </w:pPr>
            <w:r w:rsidRPr="00696138">
              <w:rPr>
                <w:rFonts w:asciiTheme="majorHAnsi" w:hAnsiTheme="majorHAnsi" w:cstheme="majorHAnsi"/>
                <w:b/>
                <w:szCs w:val="22"/>
                <w:lang w:val="fi-FI"/>
              </w:rPr>
              <w:t>Sulautumisen soveltuvuuden arvio</w:t>
            </w:r>
            <w:r>
              <w:rPr>
                <w:rFonts w:asciiTheme="majorHAnsi" w:hAnsiTheme="majorHAnsi" w:cstheme="majorHAnsi"/>
                <w:b/>
                <w:szCs w:val="22"/>
                <w:lang w:val="fi-FI"/>
              </w:rPr>
              <w:t>i</w:t>
            </w:r>
            <w:r w:rsidRPr="00696138">
              <w:rPr>
                <w:rFonts w:asciiTheme="majorHAnsi" w:hAnsiTheme="majorHAnsi" w:cstheme="majorHAnsi"/>
                <w:b/>
                <w:szCs w:val="22"/>
                <w:lang w:val="fi-FI"/>
              </w:rPr>
              <w:t>nnin kannalta olennaiset seikat</w:t>
            </w:r>
          </w:p>
        </w:tc>
      </w:tr>
      <w:tr w:rsidR="00317950" w:rsidRPr="00890B1B" w14:paraId="0D437035" w14:textId="77777777" w:rsidTr="00317950">
        <w:tc>
          <w:tcPr>
            <w:tcW w:w="258" w:type="pct"/>
          </w:tcPr>
          <w:p w14:paraId="6FDF44EF" w14:textId="77777777" w:rsidR="00AB307D" w:rsidRDefault="00AB307D" w:rsidP="00AB307D">
            <w:pPr>
              <w:pStyle w:val="Rubrik1"/>
              <w:keepNext w:val="0"/>
              <w:numPr>
                <w:ilvl w:val="0"/>
                <w:numId w:val="0"/>
              </w:numPr>
              <w:rPr>
                <w:rFonts w:asciiTheme="minorHAnsi" w:hAnsiTheme="minorHAnsi" w:cstheme="minorHAnsi"/>
                <w:b w:val="0"/>
                <w:szCs w:val="22"/>
              </w:rPr>
            </w:pPr>
            <w:r>
              <w:rPr>
                <w:rFonts w:asciiTheme="minorHAnsi" w:hAnsiTheme="minorHAnsi" w:cstheme="minorHAnsi"/>
                <w:b w:val="0"/>
                <w:szCs w:val="22"/>
              </w:rPr>
              <w:t>3.1</w:t>
            </w:r>
          </w:p>
        </w:tc>
        <w:tc>
          <w:tcPr>
            <w:tcW w:w="1341" w:type="pct"/>
          </w:tcPr>
          <w:p w14:paraId="63646987" w14:textId="59177838" w:rsidR="00AB307D" w:rsidRDefault="00AB307D" w:rsidP="009317D8">
            <w:r w:rsidRPr="008B0B1D">
              <w:rPr>
                <w:rFonts w:asciiTheme="minorHAnsi" w:hAnsiTheme="minorHAnsi" w:cstheme="minorHAnsi"/>
                <w:szCs w:val="22"/>
              </w:rPr>
              <w:t xml:space="preserve">En utgångspunkt vid bedömningen av Fusionens lämplighet är att </w:t>
            </w:r>
            <w:r>
              <w:rPr>
                <w:rFonts w:asciiTheme="minorHAnsi" w:hAnsiTheme="minorHAnsi" w:cstheme="minorHAnsi"/>
                <w:szCs w:val="22"/>
              </w:rPr>
              <w:t>Fusionen</w:t>
            </w:r>
            <w:r w:rsidRPr="008B0B1D">
              <w:rPr>
                <w:rFonts w:asciiTheme="minorHAnsi" w:hAnsiTheme="minorHAnsi" w:cstheme="minorHAnsi"/>
                <w:szCs w:val="22"/>
              </w:rPr>
              <w:t xml:space="preserve"> inte är avsedd att påverka omfatt</w:t>
            </w:r>
            <w:r w:rsidR="00317950">
              <w:rPr>
                <w:rFonts w:asciiTheme="minorHAnsi" w:hAnsiTheme="minorHAnsi" w:cstheme="minorHAnsi"/>
                <w:szCs w:val="22"/>
              </w:rPr>
              <w:softHyphen/>
            </w:r>
            <w:r w:rsidRPr="008B0B1D">
              <w:rPr>
                <w:rFonts w:asciiTheme="minorHAnsi" w:hAnsiTheme="minorHAnsi" w:cstheme="minorHAnsi"/>
                <w:szCs w:val="22"/>
              </w:rPr>
              <w:t>ningen av den verksamhet som bedrivs av de</w:t>
            </w:r>
            <w:r w:rsidR="009317D8">
              <w:rPr>
                <w:rFonts w:asciiTheme="minorHAnsi" w:hAnsiTheme="minorHAnsi" w:cstheme="minorHAnsi"/>
                <w:szCs w:val="22"/>
              </w:rPr>
              <w:t xml:space="preserve">t Överlåtande </w:t>
            </w:r>
            <w:r w:rsidRPr="008B0B1D">
              <w:rPr>
                <w:rFonts w:asciiTheme="minorHAnsi" w:hAnsiTheme="minorHAnsi" w:cstheme="minorHAnsi"/>
                <w:szCs w:val="22"/>
              </w:rPr>
              <w:t>Bolage</w:t>
            </w:r>
            <w:r w:rsidR="009317D8">
              <w:rPr>
                <w:rFonts w:asciiTheme="minorHAnsi" w:hAnsiTheme="minorHAnsi" w:cstheme="minorHAnsi"/>
                <w:szCs w:val="22"/>
              </w:rPr>
              <w:t>t</w:t>
            </w:r>
            <w:r w:rsidRPr="008B0B1D">
              <w:rPr>
                <w:rFonts w:asciiTheme="minorHAnsi" w:hAnsiTheme="minorHAnsi" w:cstheme="minorHAnsi"/>
                <w:szCs w:val="22"/>
              </w:rPr>
              <w:t xml:space="preserve"> i dag.</w:t>
            </w:r>
          </w:p>
        </w:tc>
        <w:tc>
          <w:tcPr>
            <w:tcW w:w="103" w:type="pct"/>
          </w:tcPr>
          <w:p w14:paraId="1E313EAE" w14:textId="77777777" w:rsidR="00AB307D" w:rsidRDefault="00AB307D" w:rsidP="00AB307D">
            <w:pPr>
              <w:jc w:val="right"/>
            </w:pPr>
          </w:p>
        </w:tc>
        <w:tc>
          <w:tcPr>
            <w:tcW w:w="258" w:type="pct"/>
          </w:tcPr>
          <w:p w14:paraId="623E5C7F" w14:textId="77777777" w:rsidR="00AB307D" w:rsidRDefault="00AB307D" w:rsidP="00AB307D">
            <w:r>
              <w:t>3.1</w:t>
            </w:r>
          </w:p>
        </w:tc>
        <w:tc>
          <w:tcPr>
            <w:tcW w:w="1342" w:type="pct"/>
          </w:tcPr>
          <w:p w14:paraId="0D6F5253" w14:textId="66E99234" w:rsidR="00AB307D" w:rsidRDefault="00AB307D" w:rsidP="009317D8">
            <w:pPr>
              <w:pStyle w:val="Listanumrerad"/>
              <w:numPr>
                <w:ilvl w:val="0"/>
                <w:numId w:val="0"/>
              </w:numPr>
              <w:rPr>
                <w:lang w:val="en-GB"/>
              </w:rPr>
            </w:pPr>
            <w:r w:rsidRPr="008B0B1D">
              <w:rPr>
                <w:rFonts w:asciiTheme="minorHAnsi" w:hAnsiTheme="minorHAnsi" w:cstheme="minorHAnsi"/>
                <w:lang w:val="en-GB"/>
              </w:rPr>
              <w:t xml:space="preserve">A starting point when assessing the suitability of the Merger is that the </w:t>
            </w:r>
            <w:r>
              <w:rPr>
                <w:rFonts w:asciiTheme="minorHAnsi" w:hAnsiTheme="minorHAnsi" w:cstheme="minorHAnsi"/>
                <w:lang w:val="en-GB"/>
              </w:rPr>
              <w:t>Merger</w:t>
            </w:r>
            <w:r w:rsidRPr="008B0B1D">
              <w:rPr>
                <w:rFonts w:asciiTheme="minorHAnsi" w:hAnsiTheme="minorHAnsi" w:cstheme="minorHAnsi"/>
                <w:lang w:val="en-GB"/>
              </w:rPr>
              <w:t xml:space="preserve"> is not intended to affect the scope of the business activities which are conducted by the </w:t>
            </w:r>
            <w:r w:rsidR="009317D8">
              <w:rPr>
                <w:rFonts w:asciiTheme="minorHAnsi" w:hAnsiTheme="minorHAnsi" w:cstheme="minorHAnsi"/>
                <w:lang w:val="en-GB"/>
              </w:rPr>
              <w:t>Transferor</w:t>
            </w:r>
            <w:r w:rsidR="009317D8" w:rsidRPr="008B0B1D">
              <w:rPr>
                <w:rFonts w:asciiTheme="minorHAnsi" w:hAnsiTheme="minorHAnsi" w:cstheme="minorHAnsi"/>
                <w:lang w:val="en-GB"/>
              </w:rPr>
              <w:t xml:space="preserve"> </w:t>
            </w:r>
            <w:r w:rsidRPr="008B0B1D">
              <w:rPr>
                <w:rFonts w:asciiTheme="minorHAnsi" w:hAnsiTheme="minorHAnsi" w:cstheme="minorHAnsi"/>
                <w:lang w:val="en-GB"/>
              </w:rPr>
              <w:t>Co</w:t>
            </w:r>
            <w:r w:rsidRPr="001F1B84">
              <w:rPr>
                <w:rFonts w:asciiTheme="minorHAnsi" w:hAnsiTheme="minorHAnsi" w:cstheme="minorHAnsi"/>
                <w:lang w:val="en-GB"/>
              </w:rPr>
              <w:t>mpan</w:t>
            </w:r>
            <w:r w:rsidR="009317D8">
              <w:rPr>
                <w:rFonts w:asciiTheme="minorHAnsi" w:hAnsiTheme="minorHAnsi" w:cstheme="minorHAnsi"/>
                <w:lang w:val="en-GB"/>
              </w:rPr>
              <w:t>y</w:t>
            </w:r>
            <w:r w:rsidRPr="001F1B84">
              <w:rPr>
                <w:rFonts w:asciiTheme="minorHAnsi" w:hAnsiTheme="minorHAnsi" w:cstheme="minorHAnsi"/>
                <w:lang w:val="en-GB"/>
              </w:rPr>
              <w:t xml:space="preserve"> today. </w:t>
            </w:r>
          </w:p>
        </w:tc>
        <w:tc>
          <w:tcPr>
            <w:tcW w:w="103" w:type="pct"/>
          </w:tcPr>
          <w:p w14:paraId="02B5F9FF" w14:textId="77777777" w:rsidR="00AB307D" w:rsidRDefault="00AB307D" w:rsidP="00AB307D">
            <w:pPr>
              <w:pStyle w:val="Listanumrerad"/>
              <w:numPr>
                <w:ilvl w:val="0"/>
                <w:numId w:val="0"/>
              </w:numPr>
              <w:rPr>
                <w:lang w:val="en-GB"/>
              </w:rPr>
            </w:pPr>
          </w:p>
        </w:tc>
        <w:tc>
          <w:tcPr>
            <w:tcW w:w="257" w:type="pct"/>
          </w:tcPr>
          <w:p w14:paraId="1A4455D3" w14:textId="77777777" w:rsidR="00AB307D" w:rsidRPr="00ED75F9" w:rsidRDefault="00AB307D" w:rsidP="00AB307D">
            <w:pPr>
              <w:pStyle w:val="Listanumrerad"/>
              <w:numPr>
                <w:ilvl w:val="0"/>
                <w:numId w:val="0"/>
              </w:numPr>
              <w:rPr>
                <w:rFonts w:asciiTheme="minorHAnsi" w:hAnsiTheme="minorHAnsi" w:cstheme="minorHAnsi"/>
                <w:szCs w:val="22"/>
                <w:lang w:val="en-GB"/>
              </w:rPr>
            </w:pPr>
            <w:r>
              <w:t>3.1</w:t>
            </w:r>
          </w:p>
        </w:tc>
        <w:tc>
          <w:tcPr>
            <w:tcW w:w="1338" w:type="pct"/>
          </w:tcPr>
          <w:p w14:paraId="4A9D3D3F" w14:textId="54402401" w:rsidR="00AB307D" w:rsidRPr="00D8737F" w:rsidRDefault="00AB307D" w:rsidP="00AB307D">
            <w:pPr>
              <w:pStyle w:val="Listanumrerad"/>
              <w:numPr>
                <w:ilvl w:val="0"/>
                <w:numId w:val="0"/>
              </w:numPr>
              <w:rPr>
                <w:lang w:val="fi-FI"/>
              </w:rPr>
            </w:pPr>
            <w:r w:rsidRPr="00D8737F">
              <w:rPr>
                <w:rFonts w:asciiTheme="minorHAnsi" w:hAnsiTheme="minorHAnsi" w:cstheme="minorHAnsi"/>
                <w:lang w:val="fi-FI"/>
              </w:rPr>
              <w:t xml:space="preserve">Lähtökohta Sulautumisen soveltuvuutta arvioitaessa on, että Sulautumisen ei ole tarkoitettu vaikuttavan </w:t>
            </w:r>
            <w:r w:rsidR="00D8737F" w:rsidRPr="00D8737F">
              <w:rPr>
                <w:rFonts w:asciiTheme="minorHAnsi" w:hAnsiTheme="minorHAnsi" w:cstheme="minorHAnsi"/>
                <w:lang w:val="fi-FI"/>
              </w:rPr>
              <w:t>S</w:t>
            </w:r>
            <w:r w:rsidR="00D8737F" w:rsidRPr="00E27FCB">
              <w:rPr>
                <w:rFonts w:asciiTheme="minorHAnsi" w:hAnsiTheme="minorHAnsi" w:cstheme="minorHAnsi"/>
                <w:lang w:val="fi-FI"/>
              </w:rPr>
              <w:t>ul</w:t>
            </w:r>
            <w:r w:rsidR="00D8737F">
              <w:rPr>
                <w:rFonts w:asciiTheme="minorHAnsi" w:hAnsiTheme="minorHAnsi" w:cstheme="minorHAnsi"/>
                <w:lang w:val="fi-FI"/>
              </w:rPr>
              <w:t xml:space="preserve">autuvan Yhtiön nykyisin harjoittamien </w:t>
            </w:r>
            <w:r w:rsidRPr="00D8737F">
              <w:rPr>
                <w:rFonts w:asciiTheme="minorHAnsi" w:hAnsiTheme="minorHAnsi" w:cstheme="minorHAnsi"/>
                <w:lang w:val="fi-FI"/>
              </w:rPr>
              <w:t>liiketoimintojen</w:t>
            </w:r>
            <w:r w:rsidR="00842852" w:rsidRPr="00D8737F">
              <w:rPr>
                <w:rFonts w:asciiTheme="minorHAnsi" w:hAnsiTheme="minorHAnsi" w:cstheme="minorHAnsi"/>
                <w:lang w:val="fi-FI"/>
              </w:rPr>
              <w:t xml:space="preserve"> laajuuteen</w:t>
            </w:r>
            <w:r w:rsidR="00D8737F">
              <w:rPr>
                <w:rFonts w:asciiTheme="minorHAnsi" w:hAnsiTheme="minorHAnsi" w:cstheme="minorHAnsi"/>
                <w:lang w:val="fi-FI"/>
              </w:rPr>
              <w:t>.</w:t>
            </w:r>
            <w:r w:rsidRPr="00D8737F">
              <w:rPr>
                <w:rFonts w:asciiTheme="minorHAnsi" w:hAnsiTheme="minorHAnsi" w:cstheme="minorHAnsi"/>
                <w:lang w:val="fi-FI"/>
              </w:rPr>
              <w:t xml:space="preserve"> </w:t>
            </w:r>
          </w:p>
        </w:tc>
      </w:tr>
      <w:tr w:rsidR="00317950" w:rsidRPr="00890B1B" w14:paraId="44113C76" w14:textId="77777777" w:rsidTr="00317950">
        <w:tc>
          <w:tcPr>
            <w:tcW w:w="258" w:type="pct"/>
          </w:tcPr>
          <w:p w14:paraId="6F345E51" w14:textId="77777777" w:rsidR="00AB307D" w:rsidRPr="00F666CD" w:rsidRDefault="00AB307D" w:rsidP="00AB307D">
            <w:pPr>
              <w:pStyle w:val="Rubrik1"/>
              <w:keepNext w:val="0"/>
              <w:numPr>
                <w:ilvl w:val="0"/>
                <w:numId w:val="0"/>
              </w:numPr>
              <w:rPr>
                <w:rFonts w:asciiTheme="minorHAnsi" w:hAnsiTheme="minorHAnsi" w:cstheme="minorHAnsi"/>
                <w:b w:val="0"/>
                <w:szCs w:val="22"/>
                <w:lang w:val="fi-FI"/>
              </w:rPr>
            </w:pPr>
            <w:r w:rsidRPr="00F666CD">
              <w:rPr>
                <w:rFonts w:asciiTheme="minorHAnsi" w:hAnsiTheme="minorHAnsi" w:cstheme="minorHAnsi"/>
                <w:b w:val="0"/>
                <w:szCs w:val="22"/>
                <w:lang w:val="fi-FI"/>
              </w:rPr>
              <w:t>3.2</w:t>
            </w:r>
          </w:p>
        </w:tc>
        <w:tc>
          <w:tcPr>
            <w:tcW w:w="1341" w:type="pct"/>
          </w:tcPr>
          <w:p w14:paraId="47134B0D" w14:textId="09B32C28" w:rsidR="00AB307D" w:rsidRPr="00F666CD" w:rsidRDefault="00AB307D" w:rsidP="009317D8">
            <w:r w:rsidRPr="00F666CD">
              <w:t xml:space="preserve">Antalet lokalkontor kommer inte att förändras med anledning av Fusionen, och det </w:t>
            </w:r>
            <w:r w:rsidR="009317D8" w:rsidRPr="00F666CD">
              <w:t xml:space="preserve">Fusionerade </w:t>
            </w:r>
            <w:r w:rsidRPr="00F666CD">
              <w:t>Bolaget och Filialerna kommer att erbjuda samma slag av tjänster och produkter som erbjuds i dag av det Överlåtande Bolaget. Avsikten är att de</w:t>
            </w:r>
            <w:r w:rsidR="00F10197" w:rsidRPr="00F666CD">
              <w:t>t</w:t>
            </w:r>
            <w:r w:rsidRPr="00F666CD">
              <w:t xml:space="preserve"> </w:t>
            </w:r>
            <w:r w:rsidR="00F10197" w:rsidRPr="00F666CD">
              <w:t>Över</w:t>
            </w:r>
            <w:r w:rsidR="00317950">
              <w:softHyphen/>
            </w:r>
            <w:r w:rsidR="00F10197" w:rsidRPr="00F666CD">
              <w:t>låtande Bolagets</w:t>
            </w:r>
            <w:r w:rsidRPr="00F666CD">
              <w:t xml:space="preserve"> befintliga kunder inte ska påverkas väsentligt av Fusionen, då den verksamhet som i dag utförs av det Överlåtande Bolaget efter Fusionen kommer att utföras av det </w:t>
            </w:r>
            <w:r w:rsidR="009317D8" w:rsidRPr="00F666CD">
              <w:t xml:space="preserve">Fusionerade </w:t>
            </w:r>
            <w:r w:rsidRPr="00F666CD">
              <w:lastRenderedPageBreak/>
              <w:t>Bolaget och Filialerna. Dessutom förväntas inte Fusionen innebära förändrade villkor för det Överlåtande Bolagets kunder annat än sådana som är nödvändiga för att återspegla förändringen i den legala strukturen</w:t>
            </w:r>
            <w:r w:rsidR="001104BE" w:rsidRPr="00F666CD">
              <w:t>.</w:t>
            </w:r>
          </w:p>
        </w:tc>
        <w:tc>
          <w:tcPr>
            <w:tcW w:w="103" w:type="pct"/>
          </w:tcPr>
          <w:p w14:paraId="4A3314DA" w14:textId="77777777" w:rsidR="00AB307D" w:rsidRPr="00F666CD" w:rsidRDefault="00AB307D" w:rsidP="00AB307D">
            <w:pPr>
              <w:jc w:val="right"/>
            </w:pPr>
          </w:p>
        </w:tc>
        <w:tc>
          <w:tcPr>
            <w:tcW w:w="258" w:type="pct"/>
          </w:tcPr>
          <w:p w14:paraId="24B3D4F3" w14:textId="77777777" w:rsidR="00AB307D" w:rsidRPr="00F666CD" w:rsidRDefault="00AB307D" w:rsidP="00AB307D">
            <w:pPr>
              <w:rPr>
                <w:lang w:val="en-GB"/>
              </w:rPr>
            </w:pPr>
            <w:r w:rsidRPr="00F666CD">
              <w:rPr>
                <w:lang w:val="en-GB"/>
              </w:rPr>
              <w:t>3.2</w:t>
            </w:r>
          </w:p>
        </w:tc>
        <w:tc>
          <w:tcPr>
            <w:tcW w:w="1342" w:type="pct"/>
          </w:tcPr>
          <w:p w14:paraId="21FD3B61" w14:textId="23E3B76D" w:rsidR="00AB307D" w:rsidRPr="00F666CD" w:rsidRDefault="00AB307D" w:rsidP="0039060F">
            <w:pPr>
              <w:rPr>
                <w:lang w:val="en-GB"/>
              </w:rPr>
            </w:pPr>
            <w:r w:rsidRPr="00F666CD">
              <w:rPr>
                <w:rFonts w:asciiTheme="minorHAnsi" w:hAnsiTheme="minorHAnsi" w:cstheme="minorHAnsi"/>
                <w:lang w:val="en-GB"/>
              </w:rPr>
              <w:t xml:space="preserve">The number of branch offices will not change as a result of the Merger, and the </w:t>
            </w:r>
            <w:r w:rsidR="009317D8" w:rsidRPr="00F666CD">
              <w:rPr>
                <w:rFonts w:asciiTheme="minorHAnsi" w:hAnsiTheme="minorHAnsi" w:cstheme="minorHAnsi"/>
                <w:lang w:val="en-GB"/>
              </w:rPr>
              <w:t xml:space="preserve">Merged </w:t>
            </w:r>
            <w:r w:rsidRPr="00F666CD">
              <w:rPr>
                <w:rFonts w:asciiTheme="minorHAnsi" w:hAnsiTheme="minorHAnsi" w:cstheme="minorHAnsi"/>
                <w:lang w:val="en-GB"/>
              </w:rPr>
              <w:t xml:space="preserve">Company and the Branches will offer the same type of services and products as are offered today by the Transferor Company. The intention is that the </w:t>
            </w:r>
            <w:r w:rsidR="009D056D" w:rsidRPr="00F666CD">
              <w:rPr>
                <w:rFonts w:asciiTheme="minorHAnsi" w:hAnsiTheme="minorHAnsi" w:cstheme="minorHAnsi"/>
                <w:lang w:val="en-GB"/>
              </w:rPr>
              <w:t>Transferor Company’s</w:t>
            </w:r>
            <w:r w:rsidRPr="00F666CD">
              <w:rPr>
                <w:rFonts w:asciiTheme="minorHAnsi" w:hAnsiTheme="minorHAnsi" w:cstheme="minorHAnsi"/>
                <w:lang w:val="en-GB"/>
              </w:rPr>
              <w:t xml:space="preserve"> existing customers will not be materially affected by the Merger as the business which today is conducted by the Transferor Company following the Merger will be conducted by and </w:t>
            </w:r>
            <w:r w:rsidRPr="00F666CD">
              <w:rPr>
                <w:rFonts w:asciiTheme="minorHAnsi" w:hAnsiTheme="minorHAnsi" w:cstheme="minorHAnsi"/>
                <w:lang w:val="en-GB"/>
              </w:rPr>
              <w:lastRenderedPageBreak/>
              <w:t xml:space="preserve">through the </w:t>
            </w:r>
            <w:r w:rsidR="0039060F" w:rsidRPr="00F666CD">
              <w:rPr>
                <w:rFonts w:asciiTheme="minorHAnsi" w:hAnsiTheme="minorHAnsi" w:cstheme="minorHAnsi"/>
                <w:lang w:val="en-GB"/>
              </w:rPr>
              <w:t xml:space="preserve">Merged </w:t>
            </w:r>
            <w:r w:rsidRPr="00F666CD">
              <w:rPr>
                <w:rFonts w:asciiTheme="minorHAnsi" w:hAnsiTheme="minorHAnsi" w:cstheme="minorHAnsi"/>
                <w:lang w:val="en-GB"/>
              </w:rPr>
              <w:t>Company and the Branches. Furthermore, the Merger is not expected to result in amended terms and conditions for the customers of the Transferor Company other than such which are required to reflect the change in legal structure</w:t>
            </w:r>
            <w:r w:rsidR="001104BE" w:rsidRPr="00F666CD">
              <w:rPr>
                <w:rFonts w:asciiTheme="minorHAnsi" w:hAnsiTheme="minorHAnsi" w:cstheme="minorHAnsi"/>
                <w:lang w:val="en-GB"/>
              </w:rPr>
              <w:t>.</w:t>
            </w:r>
          </w:p>
        </w:tc>
        <w:tc>
          <w:tcPr>
            <w:tcW w:w="103" w:type="pct"/>
          </w:tcPr>
          <w:p w14:paraId="0ADBCE8F" w14:textId="77777777" w:rsidR="00AB307D" w:rsidRPr="00F666CD" w:rsidRDefault="00AB307D" w:rsidP="00AB307D">
            <w:pPr>
              <w:rPr>
                <w:lang w:val="en-GB"/>
              </w:rPr>
            </w:pPr>
          </w:p>
        </w:tc>
        <w:tc>
          <w:tcPr>
            <w:tcW w:w="257" w:type="pct"/>
          </w:tcPr>
          <w:p w14:paraId="2D900104" w14:textId="77777777" w:rsidR="00AB307D" w:rsidRPr="00F666CD" w:rsidRDefault="00AB307D" w:rsidP="00AB307D">
            <w:pPr>
              <w:rPr>
                <w:rFonts w:asciiTheme="minorHAnsi" w:hAnsiTheme="minorHAnsi" w:cstheme="minorHAnsi"/>
                <w:szCs w:val="22"/>
                <w:lang w:val="en-GB"/>
              </w:rPr>
            </w:pPr>
            <w:r w:rsidRPr="00F666CD">
              <w:rPr>
                <w:lang w:val="en-GB"/>
              </w:rPr>
              <w:t>3.2</w:t>
            </w:r>
          </w:p>
        </w:tc>
        <w:tc>
          <w:tcPr>
            <w:tcW w:w="1338" w:type="pct"/>
          </w:tcPr>
          <w:p w14:paraId="0883D1B8" w14:textId="6185BBE5" w:rsidR="00AB307D" w:rsidRPr="00F666CD" w:rsidRDefault="0088172B" w:rsidP="00AE6D6C">
            <w:pPr>
              <w:rPr>
                <w:lang w:val="fi-FI"/>
              </w:rPr>
            </w:pPr>
            <w:r w:rsidRPr="0088172B">
              <w:rPr>
                <w:rFonts w:asciiTheme="minorHAnsi" w:hAnsiTheme="minorHAnsi" w:cstheme="minorHAnsi"/>
                <w:lang w:val="fi-FI"/>
              </w:rPr>
              <w:t>Toimipisteiden</w:t>
            </w:r>
            <w:r>
              <w:rPr>
                <w:rFonts w:asciiTheme="minorHAnsi" w:hAnsiTheme="minorHAnsi" w:cstheme="minorHAnsi"/>
                <w:lang w:val="fi-FI"/>
              </w:rPr>
              <w:t xml:space="preserve"> </w:t>
            </w:r>
            <w:r w:rsidR="00AB307D" w:rsidRPr="00F666CD">
              <w:rPr>
                <w:rFonts w:asciiTheme="minorHAnsi" w:hAnsiTheme="minorHAnsi" w:cstheme="minorHAnsi"/>
                <w:lang w:val="fi-FI"/>
              </w:rPr>
              <w:t xml:space="preserve">määrä ei muutu Sulautumisen seurauksena, ja </w:t>
            </w:r>
            <w:r w:rsidR="00D8737F" w:rsidRPr="00F666CD">
              <w:rPr>
                <w:rFonts w:asciiTheme="minorHAnsi" w:hAnsiTheme="minorHAnsi" w:cstheme="minorHAnsi"/>
                <w:lang w:val="fi-FI"/>
              </w:rPr>
              <w:t xml:space="preserve">Sulautunut </w:t>
            </w:r>
            <w:r w:rsidR="00775BF0" w:rsidRPr="00F666CD">
              <w:rPr>
                <w:rFonts w:asciiTheme="minorHAnsi" w:hAnsiTheme="minorHAnsi" w:cstheme="minorHAnsi"/>
                <w:lang w:val="fi-FI"/>
              </w:rPr>
              <w:t xml:space="preserve">Yhtiö ja Sivuliikkeet tulevat </w:t>
            </w:r>
            <w:r w:rsidR="00AB307D" w:rsidRPr="00F666CD">
              <w:rPr>
                <w:rFonts w:asciiTheme="minorHAnsi" w:hAnsiTheme="minorHAnsi" w:cstheme="minorHAnsi"/>
                <w:lang w:val="fi-FI"/>
              </w:rPr>
              <w:t xml:space="preserve">tarjoamaan saman tyyppisiä palveluita ja tuotteita kuin Sulautuva Yhtiö tarjoaa nykyisin. Tarkoituksena on, että Sulautuminen ei olennaisesti vaikuttaisi </w:t>
            </w:r>
            <w:r w:rsidR="00A550B2" w:rsidRPr="00F666CD">
              <w:rPr>
                <w:rFonts w:asciiTheme="minorHAnsi" w:hAnsiTheme="minorHAnsi" w:cstheme="minorHAnsi"/>
                <w:lang w:val="fi-FI"/>
              </w:rPr>
              <w:t>Sulautuvan Yhtiön</w:t>
            </w:r>
            <w:r w:rsidR="00AB307D" w:rsidRPr="00F666CD">
              <w:rPr>
                <w:rFonts w:asciiTheme="minorHAnsi" w:hAnsiTheme="minorHAnsi" w:cstheme="minorHAnsi"/>
                <w:lang w:val="fi-FI"/>
              </w:rPr>
              <w:t xml:space="preserve"> olemassa oleviin asiakkaisiin, sillä liiketoimintaa, jota nykyisin harjoitetaan Sulautuvan Yhtiön toimesta, tullaan Sulautumisen jälkeen </w:t>
            </w:r>
            <w:r w:rsidR="00AB307D" w:rsidRPr="00F666CD">
              <w:rPr>
                <w:rFonts w:asciiTheme="minorHAnsi" w:hAnsiTheme="minorHAnsi" w:cstheme="minorHAnsi"/>
                <w:lang w:val="fi-FI"/>
              </w:rPr>
              <w:lastRenderedPageBreak/>
              <w:t xml:space="preserve">harjoittamaan </w:t>
            </w:r>
            <w:r w:rsidR="000B5CE5" w:rsidRPr="00F666CD">
              <w:rPr>
                <w:rFonts w:asciiTheme="minorHAnsi" w:hAnsiTheme="minorHAnsi" w:cstheme="minorHAnsi"/>
                <w:lang w:val="fi-FI"/>
              </w:rPr>
              <w:t xml:space="preserve">Sulautuneen </w:t>
            </w:r>
            <w:r w:rsidR="0074713A" w:rsidRPr="00F666CD">
              <w:rPr>
                <w:rFonts w:asciiTheme="minorHAnsi" w:hAnsiTheme="minorHAnsi" w:cstheme="minorHAnsi"/>
                <w:lang w:val="fi-FI"/>
              </w:rPr>
              <w:t xml:space="preserve">Yhtiön ja sen Sivuliikkeiden </w:t>
            </w:r>
            <w:r w:rsidR="00AB307D" w:rsidRPr="00F666CD">
              <w:rPr>
                <w:rFonts w:asciiTheme="minorHAnsi" w:hAnsiTheme="minorHAnsi" w:cstheme="minorHAnsi"/>
                <w:lang w:val="fi-FI"/>
              </w:rPr>
              <w:t>toimesta ja kautta. Lisäksi, Sulautumisen ei ennakoida johtavan Sulautuvan Yhtiön asiakkaiden muuttuneisiin sopimusehtoihin muutoin kuin siltä osin kuin oikeudellisessa rakenteessa tapahtuneen muutoksen heijastuminen sitä edellyttää.</w:t>
            </w:r>
          </w:p>
        </w:tc>
      </w:tr>
      <w:tr w:rsidR="00D56D80" w:rsidRPr="001B762D" w14:paraId="27E99D06" w14:textId="77777777" w:rsidTr="00317950">
        <w:tc>
          <w:tcPr>
            <w:tcW w:w="258" w:type="pct"/>
          </w:tcPr>
          <w:p w14:paraId="56BA1887" w14:textId="77777777" w:rsidR="00AB307D" w:rsidRDefault="00AB307D" w:rsidP="004364FB">
            <w:pPr>
              <w:keepNext/>
              <w:spacing w:after="60"/>
              <w:rPr>
                <w:rFonts w:asciiTheme="minorHAnsi" w:hAnsiTheme="minorHAnsi" w:cstheme="minorHAnsi"/>
                <w:b/>
                <w:szCs w:val="22"/>
                <w:lang w:val="en-GB"/>
              </w:rPr>
            </w:pPr>
            <w:r>
              <w:rPr>
                <w:rFonts w:asciiTheme="majorHAnsi" w:hAnsiTheme="majorHAnsi" w:cstheme="majorHAnsi"/>
                <w:b/>
                <w:szCs w:val="22"/>
              </w:rPr>
              <w:lastRenderedPageBreak/>
              <w:t>4.</w:t>
            </w:r>
          </w:p>
        </w:tc>
        <w:tc>
          <w:tcPr>
            <w:tcW w:w="1341" w:type="pct"/>
          </w:tcPr>
          <w:p w14:paraId="3C4BCEC1" w14:textId="77777777" w:rsidR="00AB307D" w:rsidRDefault="00AB307D" w:rsidP="004364FB">
            <w:pPr>
              <w:keepNext/>
              <w:spacing w:after="60"/>
              <w:rPr>
                <w:szCs w:val="22"/>
              </w:rPr>
            </w:pPr>
            <w:r w:rsidRPr="007562C2">
              <w:rPr>
                <w:rFonts w:asciiTheme="majorHAnsi" w:hAnsiTheme="majorHAnsi" w:cstheme="majorHAnsi"/>
                <w:b/>
                <w:szCs w:val="22"/>
              </w:rPr>
              <w:t>Fusionens sannolika konsekvenser</w:t>
            </w:r>
          </w:p>
        </w:tc>
        <w:tc>
          <w:tcPr>
            <w:tcW w:w="103" w:type="pct"/>
          </w:tcPr>
          <w:p w14:paraId="4347A88A" w14:textId="77777777" w:rsidR="00AB307D" w:rsidRDefault="00AB307D" w:rsidP="004364FB">
            <w:pPr>
              <w:keepNext/>
              <w:spacing w:after="60"/>
              <w:jc w:val="right"/>
              <w:rPr>
                <w:szCs w:val="22"/>
                <w:lang w:val="en-GB"/>
              </w:rPr>
            </w:pPr>
          </w:p>
        </w:tc>
        <w:tc>
          <w:tcPr>
            <w:tcW w:w="258" w:type="pct"/>
          </w:tcPr>
          <w:p w14:paraId="2F199B96" w14:textId="77777777" w:rsidR="00AB307D" w:rsidRDefault="00AB307D" w:rsidP="004364FB">
            <w:pPr>
              <w:keepNext/>
              <w:spacing w:after="60"/>
              <w:rPr>
                <w:szCs w:val="22"/>
                <w:lang w:val="en-GB"/>
              </w:rPr>
            </w:pPr>
            <w:r>
              <w:rPr>
                <w:rFonts w:asciiTheme="majorHAnsi" w:hAnsiTheme="majorHAnsi" w:cstheme="majorHAnsi"/>
                <w:b/>
                <w:szCs w:val="22"/>
              </w:rPr>
              <w:t>4.</w:t>
            </w:r>
          </w:p>
        </w:tc>
        <w:tc>
          <w:tcPr>
            <w:tcW w:w="1342" w:type="pct"/>
          </w:tcPr>
          <w:p w14:paraId="0472A116" w14:textId="77777777" w:rsidR="00AB307D" w:rsidRDefault="00AB307D" w:rsidP="004364FB">
            <w:pPr>
              <w:pStyle w:val="Listanumrerad"/>
              <w:keepNext/>
              <w:numPr>
                <w:ilvl w:val="0"/>
                <w:numId w:val="0"/>
              </w:numPr>
              <w:spacing w:after="60"/>
              <w:rPr>
                <w:szCs w:val="22"/>
                <w:lang w:val="en-GB"/>
              </w:rPr>
            </w:pPr>
            <w:r w:rsidRPr="007562C2">
              <w:rPr>
                <w:rFonts w:asciiTheme="majorHAnsi" w:hAnsiTheme="majorHAnsi" w:cstheme="majorHAnsi"/>
                <w:b/>
                <w:szCs w:val="22"/>
                <w:lang w:val="en-GB"/>
              </w:rPr>
              <w:t>Likely implications of the Merger</w:t>
            </w:r>
          </w:p>
        </w:tc>
        <w:tc>
          <w:tcPr>
            <w:tcW w:w="103" w:type="pct"/>
          </w:tcPr>
          <w:p w14:paraId="3C9A896E" w14:textId="77777777" w:rsidR="00AB307D" w:rsidRDefault="00AB307D" w:rsidP="004364FB">
            <w:pPr>
              <w:pStyle w:val="Listanumrerad"/>
              <w:keepNext/>
              <w:numPr>
                <w:ilvl w:val="0"/>
                <w:numId w:val="0"/>
              </w:numPr>
              <w:spacing w:after="60"/>
              <w:rPr>
                <w:rFonts w:asciiTheme="majorHAnsi" w:hAnsiTheme="majorHAnsi" w:cstheme="majorHAnsi"/>
                <w:b/>
                <w:szCs w:val="22"/>
                <w:lang w:val="en-GB"/>
              </w:rPr>
            </w:pPr>
          </w:p>
        </w:tc>
        <w:tc>
          <w:tcPr>
            <w:tcW w:w="257" w:type="pct"/>
          </w:tcPr>
          <w:p w14:paraId="0F9722E5" w14:textId="77777777" w:rsidR="00AB307D" w:rsidRPr="00ED75F9" w:rsidRDefault="00AB307D" w:rsidP="004364FB">
            <w:pPr>
              <w:pStyle w:val="Listanumrerad"/>
              <w:keepNext/>
              <w:numPr>
                <w:ilvl w:val="0"/>
                <w:numId w:val="0"/>
              </w:numPr>
              <w:spacing w:after="60"/>
              <w:rPr>
                <w:rFonts w:asciiTheme="minorHAnsi" w:hAnsiTheme="minorHAnsi" w:cstheme="minorHAnsi"/>
                <w:b/>
                <w:szCs w:val="22"/>
                <w:lang w:val="en-GB"/>
              </w:rPr>
            </w:pPr>
            <w:r>
              <w:rPr>
                <w:rFonts w:asciiTheme="majorHAnsi" w:hAnsiTheme="majorHAnsi" w:cstheme="majorHAnsi"/>
                <w:b/>
                <w:szCs w:val="22"/>
              </w:rPr>
              <w:t>4.</w:t>
            </w:r>
          </w:p>
        </w:tc>
        <w:tc>
          <w:tcPr>
            <w:tcW w:w="1338" w:type="pct"/>
          </w:tcPr>
          <w:p w14:paraId="34226E2E" w14:textId="77777777" w:rsidR="00AB307D" w:rsidRPr="00645366" w:rsidRDefault="00AB307D" w:rsidP="004364FB">
            <w:pPr>
              <w:pStyle w:val="Listanumrerad"/>
              <w:keepNext/>
              <w:numPr>
                <w:ilvl w:val="0"/>
                <w:numId w:val="0"/>
              </w:numPr>
              <w:spacing w:after="60"/>
              <w:rPr>
                <w:szCs w:val="22"/>
                <w:lang w:val="fi-FI"/>
              </w:rPr>
            </w:pPr>
            <w:r w:rsidRPr="00645366">
              <w:rPr>
                <w:rFonts w:asciiTheme="majorHAnsi" w:hAnsiTheme="majorHAnsi" w:cstheme="majorHAnsi"/>
                <w:b/>
                <w:szCs w:val="22"/>
                <w:lang w:val="fi-FI"/>
              </w:rPr>
              <w:t xml:space="preserve">Sulautumisen </w:t>
            </w:r>
            <w:r w:rsidRPr="00A60906">
              <w:rPr>
                <w:rFonts w:asciiTheme="majorHAnsi" w:hAnsiTheme="majorHAnsi" w:cstheme="majorHAnsi"/>
                <w:b/>
                <w:szCs w:val="22"/>
                <w:lang w:val="fi-FI"/>
              </w:rPr>
              <w:t>todennäköisiä seurauksia</w:t>
            </w:r>
          </w:p>
        </w:tc>
      </w:tr>
      <w:tr w:rsidR="00D56D80" w:rsidRPr="0018039A" w14:paraId="03A56840" w14:textId="77777777" w:rsidTr="00317950">
        <w:tc>
          <w:tcPr>
            <w:tcW w:w="258" w:type="pct"/>
          </w:tcPr>
          <w:p w14:paraId="4839BF81" w14:textId="77777777" w:rsidR="00AB307D" w:rsidRPr="0018039A" w:rsidRDefault="00AB307D" w:rsidP="004364FB">
            <w:pPr>
              <w:keepNext/>
              <w:spacing w:after="60"/>
              <w:rPr>
                <w:rFonts w:asciiTheme="minorHAnsi" w:hAnsiTheme="minorHAnsi" w:cstheme="minorHAnsi"/>
                <w:b/>
                <w:sz w:val="20"/>
                <w:lang w:val="en-GB"/>
              </w:rPr>
            </w:pPr>
            <w:r w:rsidRPr="0018039A">
              <w:rPr>
                <w:rFonts w:asciiTheme="majorHAnsi" w:hAnsiTheme="majorHAnsi" w:cstheme="majorHAnsi"/>
                <w:b/>
                <w:sz w:val="20"/>
              </w:rPr>
              <w:t>4.</w:t>
            </w:r>
            <w:r>
              <w:rPr>
                <w:rFonts w:asciiTheme="majorHAnsi" w:hAnsiTheme="majorHAnsi" w:cstheme="majorHAnsi"/>
                <w:b/>
                <w:sz w:val="20"/>
              </w:rPr>
              <w:t>1</w:t>
            </w:r>
          </w:p>
        </w:tc>
        <w:tc>
          <w:tcPr>
            <w:tcW w:w="1341" w:type="pct"/>
          </w:tcPr>
          <w:p w14:paraId="6A7486E9" w14:textId="77777777" w:rsidR="00AB307D" w:rsidRPr="0018039A" w:rsidRDefault="00AB307D" w:rsidP="004364FB">
            <w:pPr>
              <w:keepNext/>
              <w:spacing w:after="60"/>
              <w:rPr>
                <w:sz w:val="20"/>
              </w:rPr>
            </w:pPr>
            <w:r w:rsidRPr="0018039A">
              <w:rPr>
                <w:rFonts w:asciiTheme="majorHAnsi" w:hAnsiTheme="majorHAnsi" w:cstheme="majorHAnsi"/>
                <w:b/>
                <w:sz w:val="20"/>
              </w:rPr>
              <w:t>Aktieägare och borgenärer</w:t>
            </w:r>
          </w:p>
        </w:tc>
        <w:tc>
          <w:tcPr>
            <w:tcW w:w="103" w:type="pct"/>
          </w:tcPr>
          <w:p w14:paraId="13688AB0" w14:textId="77777777" w:rsidR="00AB307D" w:rsidRPr="0018039A" w:rsidRDefault="00AB307D" w:rsidP="004364FB">
            <w:pPr>
              <w:keepNext/>
              <w:spacing w:after="60"/>
              <w:jc w:val="right"/>
              <w:rPr>
                <w:sz w:val="20"/>
                <w:lang w:val="en-GB"/>
              </w:rPr>
            </w:pPr>
          </w:p>
        </w:tc>
        <w:tc>
          <w:tcPr>
            <w:tcW w:w="258" w:type="pct"/>
          </w:tcPr>
          <w:p w14:paraId="2C9D46F3" w14:textId="77777777" w:rsidR="00AB307D" w:rsidRPr="0018039A" w:rsidRDefault="00AB307D" w:rsidP="004364FB">
            <w:pPr>
              <w:keepNext/>
              <w:spacing w:after="60"/>
              <w:rPr>
                <w:sz w:val="20"/>
                <w:lang w:val="en-GB"/>
              </w:rPr>
            </w:pPr>
            <w:r w:rsidRPr="0018039A">
              <w:rPr>
                <w:rFonts w:asciiTheme="majorHAnsi" w:hAnsiTheme="majorHAnsi" w:cstheme="majorHAnsi"/>
                <w:b/>
                <w:sz w:val="20"/>
              </w:rPr>
              <w:t>4.</w:t>
            </w:r>
            <w:r>
              <w:rPr>
                <w:rFonts w:asciiTheme="majorHAnsi" w:hAnsiTheme="majorHAnsi" w:cstheme="majorHAnsi"/>
                <w:b/>
                <w:sz w:val="20"/>
              </w:rPr>
              <w:t>1</w:t>
            </w:r>
          </w:p>
        </w:tc>
        <w:tc>
          <w:tcPr>
            <w:tcW w:w="1342" w:type="pct"/>
          </w:tcPr>
          <w:p w14:paraId="28B796EB" w14:textId="77777777" w:rsidR="00AB307D" w:rsidRPr="0018039A" w:rsidRDefault="00AB307D" w:rsidP="004364FB">
            <w:pPr>
              <w:pStyle w:val="Listanumrerad"/>
              <w:keepNext/>
              <w:numPr>
                <w:ilvl w:val="0"/>
                <w:numId w:val="0"/>
              </w:numPr>
              <w:spacing w:after="60"/>
              <w:rPr>
                <w:sz w:val="20"/>
                <w:lang w:val="en-GB"/>
              </w:rPr>
            </w:pPr>
            <w:r w:rsidRPr="0018039A">
              <w:rPr>
                <w:rFonts w:asciiTheme="majorHAnsi" w:hAnsiTheme="majorHAnsi" w:cstheme="majorHAnsi"/>
                <w:b/>
                <w:sz w:val="20"/>
                <w:lang w:val="en-GB"/>
              </w:rPr>
              <w:t>Shareholders and creditors</w:t>
            </w:r>
          </w:p>
        </w:tc>
        <w:tc>
          <w:tcPr>
            <w:tcW w:w="103" w:type="pct"/>
          </w:tcPr>
          <w:p w14:paraId="26258984" w14:textId="77777777" w:rsidR="00AB307D" w:rsidRPr="0018039A" w:rsidRDefault="00AB307D" w:rsidP="004364FB">
            <w:pPr>
              <w:pStyle w:val="Listanumrerad"/>
              <w:keepNext/>
              <w:numPr>
                <w:ilvl w:val="0"/>
                <w:numId w:val="0"/>
              </w:numPr>
              <w:spacing w:after="60"/>
              <w:rPr>
                <w:rFonts w:asciiTheme="majorHAnsi" w:hAnsiTheme="majorHAnsi" w:cstheme="majorHAnsi"/>
                <w:b/>
                <w:sz w:val="20"/>
                <w:lang w:val="en-GB"/>
              </w:rPr>
            </w:pPr>
          </w:p>
        </w:tc>
        <w:tc>
          <w:tcPr>
            <w:tcW w:w="257" w:type="pct"/>
          </w:tcPr>
          <w:p w14:paraId="0919661F" w14:textId="77777777" w:rsidR="00AB307D" w:rsidRPr="0018039A" w:rsidRDefault="00AB307D" w:rsidP="004364FB">
            <w:pPr>
              <w:pStyle w:val="Listanumrerad"/>
              <w:keepNext/>
              <w:numPr>
                <w:ilvl w:val="0"/>
                <w:numId w:val="0"/>
              </w:numPr>
              <w:spacing w:after="60"/>
              <w:rPr>
                <w:rFonts w:asciiTheme="minorHAnsi" w:hAnsiTheme="minorHAnsi" w:cstheme="minorHAnsi"/>
                <w:b/>
                <w:sz w:val="20"/>
                <w:lang w:val="en-GB"/>
              </w:rPr>
            </w:pPr>
            <w:r w:rsidRPr="0018039A">
              <w:rPr>
                <w:rFonts w:asciiTheme="majorHAnsi" w:hAnsiTheme="majorHAnsi" w:cstheme="majorHAnsi"/>
                <w:b/>
                <w:sz w:val="20"/>
              </w:rPr>
              <w:t>4.</w:t>
            </w:r>
            <w:r>
              <w:rPr>
                <w:rFonts w:asciiTheme="majorHAnsi" w:hAnsiTheme="majorHAnsi" w:cstheme="majorHAnsi"/>
                <w:b/>
                <w:sz w:val="20"/>
              </w:rPr>
              <w:t>1</w:t>
            </w:r>
          </w:p>
        </w:tc>
        <w:tc>
          <w:tcPr>
            <w:tcW w:w="1338" w:type="pct"/>
          </w:tcPr>
          <w:p w14:paraId="2E6F6C95" w14:textId="77777777" w:rsidR="00AB307D" w:rsidRPr="0018039A" w:rsidRDefault="00AB307D" w:rsidP="004364FB">
            <w:pPr>
              <w:pStyle w:val="Listanumrerad"/>
              <w:keepNext/>
              <w:numPr>
                <w:ilvl w:val="0"/>
                <w:numId w:val="0"/>
              </w:numPr>
              <w:spacing w:after="60"/>
              <w:rPr>
                <w:sz w:val="20"/>
                <w:lang w:val="en-GB"/>
              </w:rPr>
            </w:pPr>
            <w:r>
              <w:rPr>
                <w:rFonts w:asciiTheme="majorHAnsi" w:hAnsiTheme="majorHAnsi" w:cstheme="majorHAnsi"/>
                <w:b/>
                <w:sz w:val="20"/>
                <w:lang w:val="en-GB"/>
              </w:rPr>
              <w:t>Osakkeenomistajat ja velkojat</w:t>
            </w:r>
          </w:p>
        </w:tc>
      </w:tr>
      <w:tr w:rsidR="00317950" w:rsidRPr="00890B1B" w14:paraId="29E07425" w14:textId="77777777" w:rsidTr="00317950">
        <w:tc>
          <w:tcPr>
            <w:tcW w:w="258" w:type="pct"/>
          </w:tcPr>
          <w:p w14:paraId="7B9D03BD" w14:textId="77777777" w:rsidR="00AB307D" w:rsidRDefault="00AB307D" w:rsidP="00AB307D">
            <w:pPr>
              <w:rPr>
                <w:rFonts w:asciiTheme="minorHAnsi" w:hAnsiTheme="minorHAnsi" w:cstheme="minorHAnsi"/>
                <w:szCs w:val="22"/>
                <w:lang w:val="en-GB"/>
              </w:rPr>
            </w:pPr>
            <w:r>
              <w:rPr>
                <w:rFonts w:asciiTheme="minorHAnsi" w:hAnsiTheme="minorHAnsi" w:cstheme="minorHAnsi"/>
                <w:szCs w:val="22"/>
                <w:lang w:val="en-GB"/>
              </w:rPr>
              <w:t>4.1.1</w:t>
            </w:r>
          </w:p>
        </w:tc>
        <w:tc>
          <w:tcPr>
            <w:tcW w:w="1341" w:type="pct"/>
          </w:tcPr>
          <w:p w14:paraId="51A5551B" w14:textId="1B1813A3" w:rsidR="00AB307D" w:rsidRDefault="00AB307D" w:rsidP="0039060F">
            <w:r w:rsidRPr="000C7E23">
              <w:t>Det Överlåtande Bolaget är moder</w:t>
            </w:r>
            <w:r w:rsidR="00317950">
              <w:softHyphen/>
            </w:r>
            <w:r w:rsidRPr="000C7E23">
              <w:t xml:space="preserve">bolag till det Övertagande Bolaget. Som </w:t>
            </w:r>
            <w:r>
              <w:t>angivits ovan genom</w:t>
            </w:r>
            <w:r w:rsidR="000C5A9A">
              <w:softHyphen/>
            </w:r>
            <w:r>
              <w:t xml:space="preserve">förs Fusionen enligt de </w:t>
            </w:r>
            <w:r w:rsidR="006B20A8">
              <w:t xml:space="preserve">finska och </w:t>
            </w:r>
            <w:r>
              <w:t>svenska reglerna om omvänd</w:t>
            </w:r>
            <w:r w:rsidR="00AE7F51">
              <w:t>a</w:t>
            </w:r>
            <w:r>
              <w:t xml:space="preserve"> fusion</w:t>
            </w:r>
            <w:r w:rsidR="00AE7F51">
              <w:t>er</w:t>
            </w:r>
            <w:r>
              <w:t xml:space="preserve">. Det Överlåtande Bolaget upplöses i och med att Fusionen registreras i det </w:t>
            </w:r>
            <w:r w:rsidR="00DA4AFA">
              <w:t xml:space="preserve">finska </w:t>
            </w:r>
            <w:r w:rsidR="0020209B">
              <w:t>handel</w:t>
            </w:r>
            <w:r w:rsidRPr="00E06A78">
              <w:t>s</w:t>
            </w:r>
            <w:r w:rsidR="000C5A9A">
              <w:softHyphen/>
            </w:r>
            <w:r w:rsidRPr="00E06A78">
              <w:t>registret</w:t>
            </w:r>
            <w:r>
              <w:t xml:space="preserve"> och </w:t>
            </w:r>
            <w:r w:rsidR="00FC7BC4">
              <w:t>fusioneras därigenom in i det Övertagande Bolaget</w:t>
            </w:r>
            <w:r>
              <w:t xml:space="preserve">. </w:t>
            </w:r>
            <w:r w:rsidR="000F2852">
              <w:t>Samtidigt kommer t</w:t>
            </w:r>
            <w:r>
              <w:t>ill</w:t>
            </w:r>
            <w:r w:rsidR="00317950">
              <w:softHyphen/>
            </w:r>
            <w:r>
              <w:t xml:space="preserve">gångarna </w:t>
            </w:r>
            <w:r w:rsidR="00231626">
              <w:t xml:space="preserve">och skulderna </w:t>
            </w:r>
            <w:r>
              <w:t>i det Över</w:t>
            </w:r>
            <w:r w:rsidR="00317950">
              <w:softHyphen/>
            </w:r>
            <w:r>
              <w:t>låtande Bolaget att överföras till det Övertagande Bolaget. Aktie</w:t>
            </w:r>
            <w:r w:rsidR="0039060F">
              <w:t>n</w:t>
            </w:r>
            <w:r>
              <w:t xml:space="preserve"> i det </w:t>
            </w:r>
            <w:r>
              <w:lastRenderedPageBreak/>
              <w:t xml:space="preserve">Övertagande Bolaget utgör endast </w:t>
            </w:r>
            <w:r w:rsidRPr="007003A0">
              <w:t xml:space="preserve">en </w:t>
            </w:r>
            <w:r w:rsidR="00D26074">
              <w:t>obetydlig</w:t>
            </w:r>
            <w:r w:rsidR="00D26074" w:rsidRPr="007003A0">
              <w:t xml:space="preserve"> </w:t>
            </w:r>
            <w:r w:rsidRPr="007003A0">
              <w:t>del av tillgångarna i det Överlåtande Bolaget</w:t>
            </w:r>
            <w:r w:rsidR="00800988">
              <w:t>,</w:t>
            </w:r>
            <w:r>
              <w:t xml:space="preserve"> och antalet aktier i det </w:t>
            </w:r>
            <w:r w:rsidR="0039060F">
              <w:t xml:space="preserve">Fusionerade </w:t>
            </w:r>
            <w:r>
              <w:t xml:space="preserve">Bolaget </w:t>
            </w:r>
            <w:r w:rsidR="0049053D">
              <w:t xml:space="preserve">efter Fusionen </w:t>
            </w:r>
            <w:r>
              <w:t xml:space="preserve">kommer att vara detsamma som i det Överlåtande Bolaget </w:t>
            </w:r>
            <w:r w:rsidR="0065450A">
              <w:t xml:space="preserve">före </w:t>
            </w:r>
            <w:r>
              <w:t xml:space="preserve">Fusionen. </w:t>
            </w:r>
          </w:p>
        </w:tc>
        <w:tc>
          <w:tcPr>
            <w:tcW w:w="103" w:type="pct"/>
          </w:tcPr>
          <w:p w14:paraId="4EBED8EE" w14:textId="77777777" w:rsidR="00AB307D" w:rsidRDefault="00AB307D" w:rsidP="00AB307D">
            <w:pPr>
              <w:jc w:val="right"/>
            </w:pPr>
          </w:p>
        </w:tc>
        <w:tc>
          <w:tcPr>
            <w:tcW w:w="258" w:type="pct"/>
          </w:tcPr>
          <w:p w14:paraId="0A95006D" w14:textId="77777777" w:rsidR="00AB307D" w:rsidRDefault="00AB307D" w:rsidP="00AB307D">
            <w:r>
              <w:t>4.1.1</w:t>
            </w:r>
          </w:p>
        </w:tc>
        <w:tc>
          <w:tcPr>
            <w:tcW w:w="1342" w:type="pct"/>
          </w:tcPr>
          <w:p w14:paraId="113E0089" w14:textId="6FF67DCB" w:rsidR="00F40481" w:rsidRDefault="00AB307D" w:rsidP="0039060F">
            <w:pPr>
              <w:rPr>
                <w:rFonts w:asciiTheme="minorHAnsi" w:hAnsiTheme="minorHAnsi" w:cstheme="minorHAnsi"/>
                <w:szCs w:val="22"/>
                <w:lang w:val="en-GB"/>
              </w:rPr>
            </w:pPr>
            <w:r w:rsidRPr="009E64A2">
              <w:rPr>
                <w:rFonts w:asciiTheme="minorHAnsi" w:hAnsiTheme="minorHAnsi" w:cstheme="minorHAnsi"/>
                <w:lang w:val="en-GB"/>
              </w:rPr>
              <w:t xml:space="preserve">The Transferor Company is </w:t>
            </w:r>
            <w:r w:rsidR="00931F47">
              <w:rPr>
                <w:rFonts w:asciiTheme="minorHAnsi" w:hAnsiTheme="minorHAnsi" w:cstheme="minorHAnsi"/>
                <w:lang w:val="en-GB"/>
              </w:rPr>
              <w:t>the</w:t>
            </w:r>
            <w:r w:rsidRPr="009E64A2">
              <w:rPr>
                <w:rFonts w:asciiTheme="minorHAnsi" w:hAnsiTheme="minorHAnsi" w:cstheme="minorHAnsi"/>
                <w:lang w:val="en-GB"/>
              </w:rPr>
              <w:t xml:space="preserve"> </w:t>
            </w:r>
            <w:r>
              <w:rPr>
                <w:rFonts w:asciiTheme="minorHAnsi" w:hAnsiTheme="minorHAnsi" w:cstheme="minorHAnsi"/>
                <w:lang w:val="en-GB"/>
              </w:rPr>
              <w:t>parent company</w:t>
            </w:r>
            <w:r w:rsidRPr="009E64A2">
              <w:rPr>
                <w:rFonts w:asciiTheme="minorHAnsi" w:hAnsiTheme="minorHAnsi" w:cstheme="minorHAnsi"/>
                <w:lang w:val="en-GB"/>
              </w:rPr>
              <w:t xml:space="preserve"> of the Transferee Company. As set out above, the Merger is carried out pursuant to the </w:t>
            </w:r>
            <w:r w:rsidR="000B6F0F">
              <w:rPr>
                <w:rFonts w:asciiTheme="minorHAnsi" w:hAnsiTheme="minorHAnsi" w:cstheme="minorHAnsi"/>
                <w:lang w:val="en-GB"/>
              </w:rPr>
              <w:t xml:space="preserve">Finnish and </w:t>
            </w:r>
            <w:r w:rsidRPr="009E64A2">
              <w:rPr>
                <w:rFonts w:asciiTheme="minorHAnsi" w:hAnsiTheme="minorHAnsi" w:cstheme="minorHAnsi"/>
                <w:lang w:val="en-GB"/>
              </w:rPr>
              <w:t xml:space="preserve">Swedish rules regarding </w:t>
            </w:r>
            <w:r>
              <w:rPr>
                <w:rFonts w:asciiTheme="minorHAnsi" w:hAnsiTheme="minorHAnsi" w:cstheme="minorHAnsi"/>
                <w:lang w:val="en-GB"/>
              </w:rPr>
              <w:t>reverse</w:t>
            </w:r>
            <w:r w:rsidR="00010C7E">
              <w:rPr>
                <w:rFonts w:asciiTheme="minorHAnsi" w:hAnsiTheme="minorHAnsi" w:cstheme="minorHAnsi"/>
                <w:lang w:val="en-GB"/>
              </w:rPr>
              <w:t xml:space="preserve">d </w:t>
            </w:r>
            <w:r>
              <w:rPr>
                <w:rFonts w:asciiTheme="minorHAnsi" w:hAnsiTheme="minorHAnsi" w:cstheme="minorHAnsi"/>
                <w:lang w:val="en-GB"/>
              </w:rPr>
              <w:t>mergers.</w:t>
            </w:r>
            <w:r w:rsidRPr="009E64A2">
              <w:rPr>
                <w:rFonts w:asciiTheme="minorHAnsi" w:hAnsiTheme="minorHAnsi" w:cstheme="minorHAnsi"/>
                <w:lang w:val="en-GB"/>
              </w:rPr>
              <w:t xml:space="preserve"> The Transferor Company is dissolved upon registration of the Merger in the </w:t>
            </w:r>
            <w:r w:rsidR="000D5096">
              <w:rPr>
                <w:rFonts w:asciiTheme="minorHAnsi" w:hAnsiTheme="minorHAnsi" w:cstheme="minorHAnsi"/>
                <w:lang w:val="en-GB"/>
              </w:rPr>
              <w:t>F</w:t>
            </w:r>
            <w:r w:rsidR="00256028">
              <w:rPr>
                <w:rFonts w:asciiTheme="minorHAnsi" w:hAnsiTheme="minorHAnsi" w:cstheme="minorHAnsi"/>
                <w:lang w:val="en-GB"/>
              </w:rPr>
              <w:t xml:space="preserve">innish </w:t>
            </w:r>
            <w:r w:rsidR="00CC6E64">
              <w:rPr>
                <w:rFonts w:asciiTheme="minorHAnsi" w:hAnsiTheme="minorHAnsi" w:cstheme="minorHAnsi"/>
                <w:lang w:val="en-GB"/>
              </w:rPr>
              <w:t xml:space="preserve">Trade Register </w:t>
            </w:r>
            <w:r w:rsidRPr="009E64A2">
              <w:rPr>
                <w:rFonts w:asciiTheme="minorHAnsi" w:hAnsiTheme="minorHAnsi" w:cstheme="minorHAnsi"/>
                <w:lang w:val="en-GB"/>
              </w:rPr>
              <w:t xml:space="preserve">and </w:t>
            </w:r>
            <w:r w:rsidR="00C85FAC">
              <w:rPr>
                <w:rFonts w:asciiTheme="minorHAnsi" w:hAnsiTheme="minorHAnsi" w:cstheme="minorHAnsi"/>
                <w:lang w:val="en-GB"/>
              </w:rPr>
              <w:t xml:space="preserve">is </w:t>
            </w:r>
            <w:r w:rsidRPr="009E64A2">
              <w:rPr>
                <w:rFonts w:asciiTheme="minorHAnsi" w:hAnsiTheme="minorHAnsi" w:cstheme="minorHAnsi"/>
                <w:lang w:val="en-GB"/>
              </w:rPr>
              <w:t>thereby merged into the Transferee Company</w:t>
            </w:r>
            <w:r>
              <w:rPr>
                <w:rFonts w:asciiTheme="minorHAnsi" w:hAnsiTheme="minorHAnsi" w:cstheme="minorHAnsi"/>
                <w:lang w:val="en-GB"/>
              </w:rPr>
              <w:t xml:space="preserve">. </w:t>
            </w:r>
            <w:r w:rsidR="00343A4F">
              <w:rPr>
                <w:rFonts w:asciiTheme="minorHAnsi" w:hAnsiTheme="minorHAnsi" w:cstheme="minorHAnsi"/>
                <w:lang w:val="en-GB"/>
              </w:rPr>
              <w:t>At the same time, t</w:t>
            </w:r>
            <w:r>
              <w:rPr>
                <w:rFonts w:asciiTheme="minorHAnsi" w:hAnsiTheme="minorHAnsi" w:cstheme="minorHAnsi"/>
                <w:lang w:val="en-GB"/>
              </w:rPr>
              <w:t xml:space="preserve">he assets </w:t>
            </w:r>
            <w:r w:rsidR="00820023">
              <w:rPr>
                <w:rFonts w:asciiTheme="minorHAnsi" w:hAnsiTheme="minorHAnsi" w:cstheme="minorHAnsi"/>
                <w:lang w:val="en-GB"/>
              </w:rPr>
              <w:t xml:space="preserve">and liabilities </w:t>
            </w:r>
            <w:r>
              <w:rPr>
                <w:rFonts w:asciiTheme="minorHAnsi" w:hAnsiTheme="minorHAnsi" w:cstheme="minorHAnsi"/>
                <w:lang w:val="en-GB"/>
              </w:rPr>
              <w:t xml:space="preserve">of the Transferor Company will </w:t>
            </w:r>
            <w:r w:rsidR="00A24357">
              <w:rPr>
                <w:rFonts w:asciiTheme="minorHAnsi" w:hAnsiTheme="minorHAnsi" w:cstheme="minorHAnsi"/>
                <w:lang w:val="en-GB"/>
              </w:rPr>
              <w:t xml:space="preserve">be </w:t>
            </w:r>
            <w:r>
              <w:rPr>
                <w:rFonts w:asciiTheme="minorHAnsi" w:hAnsiTheme="minorHAnsi" w:cstheme="minorHAnsi"/>
                <w:lang w:val="en-GB"/>
              </w:rPr>
              <w:t>transfer</w:t>
            </w:r>
            <w:r w:rsidR="00B115BA">
              <w:rPr>
                <w:rFonts w:asciiTheme="minorHAnsi" w:hAnsiTheme="minorHAnsi" w:cstheme="minorHAnsi"/>
                <w:lang w:val="en-GB"/>
              </w:rPr>
              <w:t>red</w:t>
            </w:r>
            <w:r>
              <w:rPr>
                <w:rFonts w:asciiTheme="minorHAnsi" w:hAnsiTheme="minorHAnsi" w:cstheme="minorHAnsi"/>
                <w:lang w:val="en-GB"/>
              </w:rPr>
              <w:t xml:space="preserve"> to the T</w:t>
            </w:r>
            <w:r w:rsidR="00F15630">
              <w:rPr>
                <w:rFonts w:asciiTheme="minorHAnsi" w:hAnsiTheme="minorHAnsi" w:cstheme="minorHAnsi"/>
                <w:lang w:val="en-GB"/>
              </w:rPr>
              <w:t xml:space="preserve">ransferee Company. </w:t>
            </w:r>
            <w:r w:rsidR="00F15630">
              <w:rPr>
                <w:rFonts w:asciiTheme="minorHAnsi" w:hAnsiTheme="minorHAnsi" w:cstheme="minorHAnsi"/>
                <w:lang w:val="en-GB"/>
              </w:rPr>
              <w:lastRenderedPageBreak/>
              <w:t>The share of</w:t>
            </w:r>
            <w:r>
              <w:rPr>
                <w:rFonts w:asciiTheme="minorHAnsi" w:hAnsiTheme="minorHAnsi" w:cstheme="minorHAnsi"/>
                <w:lang w:val="en-GB"/>
              </w:rPr>
              <w:t xml:space="preserve"> the Transferee Company only </w:t>
            </w:r>
            <w:r w:rsidR="00253F38">
              <w:rPr>
                <w:rFonts w:asciiTheme="minorHAnsi" w:hAnsiTheme="minorHAnsi" w:cstheme="minorHAnsi"/>
                <w:lang w:val="en-GB"/>
              </w:rPr>
              <w:t>form</w:t>
            </w:r>
            <w:r w:rsidR="0039060F">
              <w:rPr>
                <w:rFonts w:asciiTheme="minorHAnsi" w:hAnsiTheme="minorHAnsi" w:cstheme="minorHAnsi"/>
                <w:lang w:val="en-GB"/>
              </w:rPr>
              <w:t>s</w:t>
            </w:r>
            <w:r w:rsidR="00253F38">
              <w:rPr>
                <w:rFonts w:asciiTheme="minorHAnsi" w:hAnsiTheme="minorHAnsi" w:cstheme="minorHAnsi"/>
                <w:lang w:val="en-GB"/>
              </w:rPr>
              <w:t xml:space="preserve"> a</w:t>
            </w:r>
            <w:r w:rsidR="00D26074">
              <w:rPr>
                <w:rFonts w:asciiTheme="minorHAnsi" w:hAnsiTheme="minorHAnsi" w:cstheme="minorHAnsi"/>
                <w:lang w:val="en-GB"/>
              </w:rPr>
              <w:t>n insignificant</w:t>
            </w:r>
            <w:r w:rsidRPr="007003A0">
              <w:rPr>
                <w:rFonts w:asciiTheme="minorHAnsi" w:hAnsiTheme="minorHAnsi" w:cstheme="minorHAnsi"/>
                <w:lang w:val="en-GB"/>
              </w:rPr>
              <w:t xml:space="preserve"> part of the</w:t>
            </w:r>
            <w:r>
              <w:rPr>
                <w:rFonts w:asciiTheme="minorHAnsi" w:hAnsiTheme="minorHAnsi" w:cstheme="minorHAnsi"/>
                <w:lang w:val="en-GB"/>
              </w:rPr>
              <w:t xml:space="preserve"> assets of the Transferor Company</w:t>
            </w:r>
            <w:r w:rsidR="00355BF8">
              <w:rPr>
                <w:rFonts w:asciiTheme="minorHAnsi" w:hAnsiTheme="minorHAnsi" w:cstheme="minorHAnsi"/>
                <w:lang w:val="en-GB"/>
              </w:rPr>
              <w:t>,</w:t>
            </w:r>
            <w:r>
              <w:rPr>
                <w:rFonts w:asciiTheme="minorHAnsi" w:hAnsiTheme="minorHAnsi" w:cstheme="minorHAnsi"/>
                <w:lang w:val="en-GB"/>
              </w:rPr>
              <w:t xml:space="preserve"> and t</w:t>
            </w:r>
            <w:r w:rsidR="00F15630">
              <w:rPr>
                <w:rFonts w:asciiTheme="minorHAnsi" w:hAnsiTheme="minorHAnsi" w:cstheme="minorHAnsi"/>
                <w:lang w:val="en-GB"/>
              </w:rPr>
              <w:t>he number of shares of</w:t>
            </w:r>
            <w:r w:rsidRPr="009E64A2">
              <w:rPr>
                <w:rFonts w:asciiTheme="minorHAnsi" w:hAnsiTheme="minorHAnsi" w:cstheme="minorHAnsi"/>
                <w:lang w:val="en-GB"/>
              </w:rPr>
              <w:t xml:space="preserve"> the </w:t>
            </w:r>
            <w:r w:rsidR="0039060F">
              <w:rPr>
                <w:rFonts w:asciiTheme="minorHAnsi" w:hAnsiTheme="minorHAnsi" w:cstheme="minorHAnsi"/>
                <w:lang w:val="en-GB"/>
              </w:rPr>
              <w:t>Merged</w:t>
            </w:r>
            <w:r w:rsidR="0039060F" w:rsidRPr="009E64A2">
              <w:rPr>
                <w:rFonts w:asciiTheme="minorHAnsi" w:hAnsiTheme="minorHAnsi" w:cstheme="minorHAnsi"/>
                <w:lang w:val="en-GB"/>
              </w:rPr>
              <w:t xml:space="preserve"> </w:t>
            </w:r>
            <w:r w:rsidRPr="009E64A2">
              <w:rPr>
                <w:rFonts w:asciiTheme="minorHAnsi" w:hAnsiTheme="minorHAnsi" w:cstheme="minorHAnsi"/>
                <w:lang w:val="en-GB"/>
              </w:rPr>
              <w:t>Company</w:t>
            </w:r>
            <w:r w:rsidR="00155303">
              <w:rPr>
                <w:rFonts w:asciiTheme="minorHAnsi" w:hAnsiTheme="minorHAnsi" w:cstheme="minorHAnsi"/>
                <w:lang w:val="en-GB"/>
              </w:rPr>
              <w:t xml:space="preserve"> after the Merger</w:t>
            </w:r>
            <w:r w:rsidRPr="009E64A2">
              <w:rPr>
                <w:rFonts w:asciiTheme="minorHAnsi" w:hAnsiTheme="minorHAnsi" w:cstheme="minorHAnsi"/>
                <w:lang w:val="en-GB"/>
              </w:rPr>
              <w:t xml:space="preserve"> will </w:t>
            </w:r>
            <w:r>
              <w:rPr>
                <w:rFonts w:asciiTheme="minorHAnsi" w:hAnsiTheme="minorHAnsi" w:cstheme="minorHAnsi"/>
                <w:lang w:val="en-GB"/>
              </w:rPr>
              <w:t>be the same as in the Transferor Company</w:t>
            </w:r>
            <w:r w:rsidRPr="009E64A2">
              <w:rPr>
                <w:rFonts w:asciiTheme="minorHAnsi" w:hAnsiTheme="minorHAnsi" w:cstheme="minorHAnsi"/>
                <w:lang w:val="en-GB"/>
              </w:rPr>
              <w:t xml:space="preserve"> </w:t>
            </w:r>
            <w:r w:rsidR="00705B90">
              <w:rPr>
                <w:rFonts w:asciiTheme="minorHAnsi" w:hAnsiTheme="minorHAnsi" w:cstheme="minorHAnsi"/>
                <w:lang w:val="en-GB"/>
              </w:rPr>
              <w:t>prior to</w:t>
            </w:r>
            <w:r w:rsidR="00ED14C1">
              <w:rPr>
                <w:rFonts w:asciiTheme="minorHAnsi" w:hAnsiTheme="minorHAnsi" w:cstheme="minorHAnsi"/>
                <w:lang w:val="en-GB"/>
              </w:rPr>
              <w:t xml:space="preserve"> </w:t>
            </w:r>
            <w:r w:rsidRPr="009E64A2">
              <w:rPr>
                <w:rFonts w:asciiTheme="minorHAnsi" w:hAnsiTheme="minorHAnsi" w:cstheme="minorHAnsi"/>
                <w:lang w:val="en-GB"/>
              </w:rPr>
              <w:t xml:space="preserve">the Merger. </w:t>
            </w:r>
          </w:p>
        </w:tc>
        <w:tc>
          <w:tcPr>
            <w:tcW w:w="103" w:type="pct"/>
          </w:tcPr>
          <w:p w14:paraId="12A73E52" w14:textId="77777777" w:rsidR="00AB307D" w:rsidRDefault="00AB307D" w:rsidP="00AB307D">
            <w:pPr>
              <w:rPr>
                <w:rFonts w:asciiTheme="minorHAnsi" w:hAnsiTheme="minorHAnsi" w:cstheme="minorHAnsi"/>
                <w:szCs w:val="22"/>
                <w:lang w:val="en-GB"/>
              </w:rPr>
            </w:pPr>
          </w:p>
        </w:tc>
        <w:tc>
          <w:tcPr>
            <w:tcW w:w="257" w:type="pct"/>
          </w:tcPr>
          <w:p w14:paraId="350E8C42" w14:textId="77777777" w:rsidR="00AB307D" w:rsidRPr="00ED75F9" w:rsidRDefault="00AB307D" w:rsidP="00AB307D">
            <w:pPr>
              <w:rPr>
                <w:rFonts w:asciiTheme="minorHAnsi" w:hAnsiTheme="minorHAnsi" w:cstheme="minorHAnsi"/>
                <w:szCs w:val="22"/>
                <w:lang w:val="en-GB"/>
              </w:rPr>
            </w:pPr>
            <w:r>
              <w:t>4.1.1</w:t>
            </w:r>
          </w:p>
        </w:tc>
        <w:tc>
          <w:tcPr>
            <w:tcW w:w="1338" w:type="pct"/>
          </w:tcPr>
          <w:p w14:paraId="0A2789DC" w14:textId="39210DE7" w:rsidR="00AB307D" w:rsidRPr="008B6CB2" w:rsidRDefault="00820023" w:rsidP="00AE6D6C">
            <w:pPr>
              <w:rPr>
                <w:rFonts w:asciiTheme="minorHAnsi" w:hAnsiTheme="minorHAnsi" w:cstheme="minorHAnsi"/>
                <w:lang w:val="fi-FI"/>
              </w:rPr>
            </w:pPr>
            <w:r w:rsidRPr="00820023">
              <w:rPr>
                <w:rFonts w:asciiTheme="minorHAnsi" w:hAnsiTheme="minorHAnsi" w:cstheme="minorHAnsi"/>
                <w:lang w:val="fi-FI"/>
              </w:rPr>
              <w:t xml:space="preserve">Sulautuva Yhtiö on Vastaanottavan Yhtiön emoyhtiö. Kuten edellä on esitetty, Sulautuminen toteutetaan </w:t>
            </w:r>
            <w:r>
              <w:rPr>
                <w:rFonts w:asciiTheme="minorHAnsi" w:hAnsiTheme="minorHAnsi" w:cstheme="minorHAnsi"/>
                <w:lang w:val="fi-FI"/>
              </w:rPr>
              <w:t xml:space="preserve">ns. vastavirtasulautumista koskevien </w:t>
            </w:r>
            <w:r w:rsidR="0009138E">
              <w:rPr>
                <w:rFonts w:asciiTheme="minorHAnsi" w:hAnsiTheme="minorHAnsi" w:cstheme="minorHAnsi"/>
                <w:lang w:val="fi-FI"/>
              </w:rPr>
              <w:t>suomalaisten</w:t>
            </w:r>
            <w:r w:rsidRPr="00820023">
              <w:rPr>
                <w:rFonts w:asciiTheme="minorHAnsi" w:hAnsiTheme="minorHAnsi" w:cstheme="minorHAnsi"/>
                <w:lang w:val="fi-FI"/>
              </w:rPr>
              <w:t xml:space="preserve"> ja </w:t>
            </w:r>
            <w:r w:rsidR="0009138E">
              <w:rPr>
                <w:rFonts w:asciiTheme="minorHAnsi" w:hAnsiTheme="minorHAnsi" w:cstheme="minorHAnsi"/>
                <w:lang w:val="fi-FI"/>
              </w:rPr>
              <w:t>ruotsalaisten</w:t>
            </w:r>
            <w:r w:rsidRPr="00820023">
              <w:rPr>
                <w:rFonts w:asciiTheme="minorHAnsi" w:hAnsiTheme="minorHAnsi" w:cstheme="minorHAnsi"/>
                <w:lang w:val="fi-FI"/>
              </w:rPr>
              <w:t xml:space="preserve"> säännösten mukaisesti.</w:t>
            </w:r>
            <w:r>
              <w:rPr>
                <w:rFonts w:asciiTheme="minorHAnsi" w:hAnsiTheme="minorHAnsi" w:cstheme="minorHAnsi"/>
                <w:lang w:val="fi-FI"/>
              </w:rPr>
              <w:t xml:space="preserve"> </w:t>
            </w:r>
            <w:r w:rsidRPr="00820023">
              <w:rPr>
                <w:rFonts w:asciiTheme="minorHAnsi" w:hAnsiTheme="minorHAnsi" w:cstheme="minorHAnsi"/>
                <w:lang w:val="fi-FI"/>
              </w:rPr>
              <w:t>Sulautumi</w:t>
            </w:r>
            <w:r>
              <w:rPr>
                <w:rFonts w:asciiTheme="minorHAnsi" w:hAnsiTheme="minorHAnsi" w:cstheme="minorHAnsi"/>
                <w:lang w:val="fi-FI"/>
              </w:rPr>
              <w:t>s</w:t>
            </w:r>
            <w:r w:rsidRPr="00820023">
              <w:rPr>
                <w:rFonts w:asciiTheme="minorHAnsi" w:hAnsiTheme="minorHAnsi" w:cstheme="minorHAnsi"/>
                <w:lang w:val="fi-FI"/>
              </w:rPr>
              <w:t>en rekisteröi</w:t>
            </w:r>
            <w:r>
              <w:rPr>
                <w:rFonts w:asciiTheme="minorHAnsi" w:hAnsiTheme="minorHAnsi" w:cstheme="minorHAnsi"/>
                <w:lang w:val="fi-FI"/>
              </w:rPr>
              <w:t xml:space="preserve">nnin </w:t>
            </w:r>
            <w:r w:rsidRPr="00820023">
              <w:rPr>
                <w:rFonts w:asciiTheme="minorHAnsi" w:hAnsiTheme="minorHAnsi" w:cstheme="minorHAnsi"/>
                <w:lang w:val="fi-FI"/>
              </w:rPr>
              <w:t>Suomen kaupparekisteriin</w:t>
            </w:r>
            <w:r w:rsidR="00AE6D6C">
              <w:rPr>
                <w:rFonts w:asciiTheme="minorHAnsi" w:hAnsiTheme="minorHAnsi" w:cstheme="minorHAnsi"/>
                <w:lang w:val="fi-FI"/>
              </w:rPr>
              <w:t xml:space="preserve"> seurauksena</w:t>
            </w:r>
            <w:r w:rsidRPr="00820023">
              <w:rPr>
                <w:rFonts w:asciiTheme="minorHAnsi" w:hAnsiTheme="minorHAnsi" w:cstheme="minorHAnsi"/>
                <w:lang w:val="fi-FI"/>
              </w:rPr>
              <w:t xml:space="preserve"> Sulautuva Yhtiö purkautuu ja sulautuu Vastaanottavaan Yhtiöön.</w:t>
            </w:r>
            <w:r>
              <w:rPr>
                <w:rFonts w:asciiTheme="minorHAnsi" w:hAnsiTheme="minorHAnsi" w:cstheme="minorHAnsi"/>
                <w:lang w:val="fi-FI"/>
              </w:rPr>
              <w:t xml:space="preserve"> Samanaikaisesti </w:t>
            </w:r>
            <w:r w:rsidRPr="00820023">
              <w:rPr>
                <w:rFonts w:asciiTheme="minorHAnsi" w:hAnsiTheme="minorHAnsi" w:cstheme="minorHAnsi"/>
                <w:lang w:val="fi-FI"/>
              </w:rPr>
              <w:t xml:space="preserve">Sulautuvan Yhtiön varat </w:t>
            </w:r>
            <w:r>
              <w:rPr>
                <w:rFonts w:asciiTheme="minorHAnsi" w:hAnsiTheme="minorHAnsi" w:cstheme="minorHAnsi"/>
                <w:lang w:val="fi-FI"/>
              </w:rPr>
              <w:t xml:space="preserve">ja velat </w:t>
            </w:r>
            <w:r w:rsidRPr="00820023">
              <w:rPr>
                <w:rFonts w:asciiTheme="minorHAnsi" w:hAnsiTheme="minorHAnsi" w:cstheme="minorHAnsi"/>
                <w:lang w:val="fi-FI"/>
              </w:rPr>
              <w:t xml:space="preserve">siirtyvät Sulautumisessa Vastaanottavalle Yhtiölle. </w:t>
            </w:r>
            <w:r w:rsidRPr="00820023">
              <w:rPr>
                <w:rFonts w:asciiTheme="minorHAnsi" w:hAnsiTheme="minorHAnsi" w:cstheme="minorHAnsi"/>
                <w:lang w:val="fi-FI"/>
              </w:rPr>
              <w:lastRenderedPageBreak/>
              <w:t>Vastaanottavan Yhtiön osak</w:t>
            </w:r>
            <w:r w:rsidR="00B856AF">
              <w:rPr>
                <w:rFonts w:asciiTheme="minorHAnsi" w:hAnsiTheme="minorHAnsi" w:cstheme="minorHAnsi"/>
                <w:lang w:val="fi-FI"/>
              </w:rPr>
              <w:t>e</w:t>
            </w:r>
            <w:r w:rsidRPr="00820023">
              <w:rPr>
                <w:rFonts w:asciiTheme="minorHAnsi" w:hAnsiTheme="minorHAnsi" w:cstheme="minorHAnsi"/>
                <w:lang w:val="fi-FI"/>
              </w:rPr>
              <w:t xml:space="preserve"> muodosta</w:t>
            </w:r>
            <w:r w:rsidR="00B856AF">
              <w:rPr>
                <w:rFonts w:asciiTheme="minorHAnsi" w:hAnsiTheme="minorHAnsi" w:cstheme="minorHAnsi"/>
                <w:lang w:val="fi-FI"/>
              </w:rPr>
              <w:t xml:space="preserve">a </w:t>
            </w:r>
            <w:r w:rsidRPr="00820023">
              <w:rPr>
                <w:rFonts w:asciiTheme="minorHAnsi" w:hAnsiTheme="minorHAnsi" w:cstheme="minorHAnsi"/>
                <w:lang w:val="fi-FI"/>
              </w:rPr>
              <w:t xml:space="preserve">vain </w:t>
            </w:r>
            <w:r w:rsidR="00F45DC9">
              <w:rPr>
                <w:rFonts w:asciiTheme="minorHAnsi" w:hAnsiTheme="minorHAnsi" w:cstheme="minorHAnsi"/>
                <w:lang w:val="fi-FI"/>
              </w:rPr>
              <w:t xml:space="preserve">merkityksettömän </w:t>
            </w:r>
            <w:r w:rsidRPr="00820023">
              <w:rPr>
                <w:rFonts w:asciiTheme="minorHAnsi" w:hAnsiTheme="minorHAnsi" w:cstheme="minorHAnsi"/>
                <w:lang w:val="fi-FI"/>
              </w:rPr>
              <w:t xml:space="preserve">osan Sulautuvan Yhtiön omaisuudesta ja osakkeiden lukumäärä </w:t>
            </w:r>
            <w:r w:rsidR="000B5CE5">
              <w:rPr>
                <w:rFonts w:asciiTheme="minorHAnsi" w:hAnsiTheme="minorHAnsi" w:cstheme="minorHAnsi"/>
                <w:lang w:val="fi-FI"/>
              </w:rPr>
              <w:t xml:space="preserve">Sulautuneessa </w:t>
            </w:r>
            <w:r w:rsidRPr="00820023">
              <w:rPr>
                <w:rFonts w:asciiTheme="minorHAnsi" w:hAnsiTheme="minorHAnsi" w:cstheme="minorHAnsi"/>
                <w:lang w:val="fi-FI"/>
              </w:rPr>
              <w:t>Yhtiössä tulee Sulautumisen seurauksena olemaan sama kuin Sulautuvassa Yhtiössä</w:t>
            </w:r>
            <w:r w:rsidR="001C65B0">
              <w:rPr>
                <w:rFonts w:asciiTheme="minorHAnsi" w:hAnsiTheme="minorHAnsi" w:cstheme="minorHAnsi"/>
                <w:lang w:val="fi-FI"/>
              </w:rPr>
              <w:t xml:space="preserve"> ennen Sulautumista</w:t>
            </w:r>
            <w:r>
              <w:rPr>
                <w:rFonts w:asciiTheme="minorHAnsi" w:hAnsiTheme="minorHAnsi" w:cstheme="minorHAnsi"/>
                <w:lang w:val="fi-FI"/>
              </w:rPr>
              <w:t xml:space="preserve">. </w:t>
            </w:r>
          </w:p>
        </w:tc>
      </w:tr>
      <w:tr w:rsidR="00D56D80" w:rsidRPr="002B6CA9" w14:paraId="33954658" w14:textId="77777777" w:rsidTr="00317950">
        <w:tc>
          <w:tcPr>
            <w:tcW w:w="258" w:type="pct"/>
          </w:tcPr>
          <w:p w14:paraId="7F27079C" w14:textId="761565EB" w:rsidR="006257D5" w:rsidRDefault="0077301C" w:rsidP="006257D5">
            <w:pPr>
              <w:rPr>
                <w:rFonts w:asciiTheme="minorHAnsi" w:hAnsiTheme="minorHAnsi" w:cstheme="minorHAnsi"/>
                <w:szCs w:val="22"/>
                <w:lang w:val="en-GB"/>
              </w:rPr>
            </w:pPr>
            <w:r>
              <w:rPr>
                <w:rFonts w:asciiTheme="minorHAnsi" w:hAnsiTheme="minorHAnsi" w:cstheme="minorHAnsi"/>
                <w:szCs w:val="22"/>
                <w:lang w:val="en-GB"/>
              </w:rPr>
              <w:lastRenderedPageBreak/>
              <w:t>4.1.2</w:t>
            </w:r>
          </w:p>
        </w:tc>
        <w:tc>
          <w:tcPr>
            <w:tcW w:w="1341" w:type="pct"/>
          </w:tcPr>
          <w:p w14:paraId="175BDFD0" w14:textId="45EF637F" w:rsidR="006257D5" w:rsidRPr="00F10197" w:rsidRDefault="00F10197" w:rsidP="0039060F">
            <w:r w:rsidRPr="006E6148">
              <w:rPr>
                <w:rFonts w:asciiTheme="minorHAnsi" w:hAnsiTheme="minorHAnsi" w:cstheme="minorHAnsi"/>
                <w:szCs w:val="22"/>
              </w:rPr>
              <w:t xml:space="preserve">Eftersom det Övertagande Bolaget är ett finskt </w:t>
            </w:r>
            <w:r w:rsidR="00512A78">
              <w:rPr>
                <w:rFonts w:asciiTheme="minorHAnsi" w:hAnsiTheme="minorHAnsi" w:cstheme="minorHAnsi"/>
                <w:szCs w:val="22"/>
              </w:rPr>
              <w:t>aktie</w:t>
            </w:r>
            <w:r w:rsidRPr="006E6148">
              <w:rPr>
                <w:rFonts w:asciiTheme="minorHAnsi" w:hAnsiTheme="minorHAnsi" w:cstheme="minorHAnsi"/>
                <w:szCs w:val="22"/>
              </w:rPr>
              <w:t>bolag</w:t>
            </w:r>
            <w:r w:rsidR="00512A78">
              <w:rPr>
                <w:rFonts w:asciiTheme="minorHAnsi" w:hAnsiTheme="minorHAnsi" w:cstheme="minorHAnsi"/>
                <w:szCs w:val="22"/>
              </w:rPr>
              <w:t>,</w:t>
            </w:r>
            <w:r w:rsidRPr="006E6148">
              <w:rPr>
                <w:rFonts w:asciiTheme="minorHAnsi" w:hAnsiTheme="minorHAnsi" w:cstheme="minorHAnsi"/>
                <w:szCs w:val="22"/>
              </w:rPr>
              <w:t xml:space="preserve"> kommer a</w:t>
            </w:r>
            <w:r w:rsidR="006257D5" w:rsidRPr="006E6148">
              <w:rPr>
                <w:rFonts w:asciiTheme="minorHAnsi" w:hAnsiTheme="minorHAnsi" w:cstheme="minorHAnsi"/>
                <w:szCs w:val="22"/>
              </w:rPr>
              <w:t>ktie</w:t>
            </w:r>
            <w:r w:rsidR="00317950">
              <w:rPr>
                <w:rFonts w:asciiTheme="minorHAnsi" w:hAnsiTheme="minorHAnsi" w:cstheme="minorHAnsi"/>
                <w:szCs w:val="22"/>
              </w:rPr>
              <w:softHyphen/>
            </w:r>
            <w:r w:rsidR="006257D5" w:rsidRPr="006E6148">
              <w:rPr>
                <w:rFonts w:asciiTheme="minorHAnsi" w:hAnsiTheme="minorHAnsi" w:cstheme="minorHAnsi"/>
                <w:szCs w:val="22"/>
              </w:rPr>
              <w:t xml:space="preserve">ägarna </w:t>
            </w:r>
            <w:r w:rsidRPr="006E6148">
              <w:rPr>
                <w:rFonts w:asciiTheme="minorHAnsi" w:hAnsiTheme="minorHAnsi" w:cstheme="minorHAnsi"/>
                <w:szCs w:val="22"/>
              </w:rPr>
              <w:t xml:space="preserve">i det Överlåtande Bolaget </w:t>
            </w:r>
            <w:r w:rsidR="006257D5" w:rsidRPr="006E6148">
              <w:rPr>
                <w:rFonts w:asciiTheme="minorHAnsi" w:hAnsiTheme="minorHAnsi" w:cstheme="minorHAnsi"/>
                <w:szCs w:val="22"/>
              </w:rPr>
              <w:t xml:space="preserve">att erhålla aktier i ett finskt </w:t>
            </w:r>
            <w:r w:rsidR="00484004" w:rsidRPr="006E6148">
              <w:rPr>
                <w:rFonts w:asciiTheme="minorHAnsi" w:hAnsiTheme="minorHAnsi" w:cstheme="minorHAnsi"/>
                <w:szCs w:val="22"/>
              </w:rPr>
              <w:t>aktie</w:t>
            </w:r>
            <w:r w:rsidR="000C5A9A">
              <w:rPr>
                <w:rFonts w:asciiTheme="minorHAnsi" w:hAnsiTheme="minorHAnsi" w:cstheme="minorHAnsi"/>
                <w:szCs w:val="22"/>
              </w:rPr>
              <w:softHyphen/>
            </w:r>
            <w:r w:rsidR="006257D5" w:rsidRPr="006E6148">
              <w:rPr>
                <w:rFonts w:asciiTheme="minorHAnsi" w:hAnsiTheme="minorHAnsi" w:cstheme="minorHAnsi"/>
                <w:szCs w:val="22"/>
              </w:rPr>
              <w:t xml:space="preserve">bolag </w:t>
            </w:r>
            <w:r w:rsidR="00A045B4" w:rsidRPr="006E6148">
              <w:rPr>
                <w:rFonts w:asciiTheme="minorHAnsi" w:hAnsiTheme="minorHAnsi" w:cstheme="minorHAnsi"/>
                <w:szCs w:val="22"/>
              </w:rPr>
              <w:t xml:space="preserve">vars aktier </w:t>
            </w:r>
            <w:r w:rsidR="00390F92" w:rsidRPr="006E6148">
              <w:rPr>
                <w:rFonts w:asciiTheme="minorHAnsi" w:hAnsiTheme="minorHAnsi" w:cstheme="minorHAnsi"/>
                <w:szCs w:val="22"/>
              </w:rPr>
              <w:t xml:space="preserve">kommer att vara </w:t>
            </w:r>
            <w:r w:rsidR="00A045B4" w:rsidRPr="006E6148">
              <w:rPr>
                <w:rFonts w:asciiTheme="minorHAnsi" w:hAnsiTheme="minorHAnsi" w:cstheme="minorHAnsi"/>
                <w:szCs w:val="22"/>
              </w:rPr>
              <w:t xml:space="preserve">noterade på </w:t>
            </w:r>
            <w:r w:rsidR="006257D5" w:rsidRPr="006E6148">
              <w:rPr>
                <w:rFonts w:asciiTheme="minorHAnsi" w:hAnsiTheme="minorHAnsi" w:cstheme="minorHAnsi"/>
                <w:szCs w:val="22"/>
              </w:rPr>
              <w:t xml:space="preserve">Nasdaq </w:t>
            </w:r>
            <w:r w:rsidRPr="006E6148">
              <w:rPr>
                <w:rFonts w:asciiTheme="minorHAnsi" w:hAnsiTheme="minorHAnsi" w:cstheme="minorHAnsi"/>
                <w:szCs w:val="22"/>
              </w:rPr>
              <w:t xml:space="preserve">Stockholm, Nasdaq Köpenhamn och Nasdaq </w:t>
            </w:r>
            <w:r w:rsidR="006257D5" w:rsidRPr="006E6148">
              <w:rPr>
                <w:rFonts w:asciiTheme="minorHAnsi" w:hAnsiTheme="minorHAnsi" w:cstheme="minorHAnsi"/>
                <w:szCs w:val="22"/>
              </w:rPr>
              <w:t>Helsingfors</w:t>
            </w:r>
            <w:r w:rsidR="00C73BE2" w:rsidRPr="006E6148">
              <w:rPr>
                <w:rFonts w:asciiTheme="minorHAnsi" w:hAnsiTheme="minorHAnsi" w:cstheme="minorHAnsi"/>
                <w:szCs w:val="22"/>
              </w:rPr>
              <w:t xml:space="preserve"> </w:t>
            </w:r>
            <w:r w:rsidR="006257D5" w:rsidRPr="006E6148">
              <w:rPr>
                <w:rFonts w:asciiTheme="minorHAnsi" w:hAnsiTheme="minorHAnsi" w:cstheme="minorHAnsi"/>
                <w:szCs w:val="22"/>
              </w:rPr>
              <w:t>i</w:t>
            </w:r>
            <w:r w:rsidR="001847EF" w:rsidRPr="006E6148">
              <w:rPr>
                <w:rFonts w:asciiTheme="minorHAnsi" w:hAnsiTheme="minorHAnsi" w:cstheme="minorHAnsi"/>
                <w:szCs w:val="22"/>
              </w:rPr>
              <w:t xml:space="preserve"> </w:t>
            </w:r>
            <w:r w:rsidR="006257D5" w:rsidRPr="006E6148">
              <w:rPr>
                <w:rFonts w:asciiTheme="minorHAnsi" w:hAnsiTheme="minorHAnsi" w:cstheme="minorHAnsi"/>
                <w:szCs w:val="22"/>
              </w:rPr>
              <w:t xml:space="preserve">stället för aktier i ett svenskt </w:t>
            </w:r>
            <w:r w:rsidR="00501CDA" w:rsidRPr="006E6148">
              <w:rPr>
                <w:rFonts w:asciiTheme="minorHAnsi" w:hAnsiTheme="minorHAnsi" w:cstheme="minorHAnsi"/>
                <w:szCs w:val="22"/>
              </w:rPr>
              <w:t>aktie</w:t>
            </w:r>
            <w:r w:rsidR="006257D5" w:rsidRPr="006E6148">
              <w:rPr>
                <w:rFonts w:asciiTheme="minorHAnsi" w:hAnsiTheme="minorHAnsi" w:cstheme="minorHAnsi"/>
                <w:szCs w:val="22"/>
              </w:rPr>
              <w:t xml:space="preserve">bolag </w:t>
            </w:r>
            <w:r w:rsidRPr="006E6148">
              <w:rPr>
                <w:rFonts w:asciiTheme="minorHAnsi" w:hAnsiTheme="minorHAnsi" w:cstheme="minorHAnsi"/>
                <w:szCs w:val="22"/>
              </w:rPr>
              <w:t>(dvs. det Över</w:t>
            </w:r>
            <w:r w:rsidR="000C5A9A">
              <w:rPr>
                <w:rFonts w:asciiTheme="minorHAnsi" w:hAnsiTheme="minorHAnsi" w:cstheme="minorHAnsi"/>
                <w:szCs w:val="22"/>
              </w:rPr>
              <w:softHyphen/>
            </w:r>
            <w:r w:rsidRPr="006E6148">
              <w:rPr>
                <w:rFonts w:asciiTheme="minorHAnsi" w:hAnsiTheme="minorHAnsi" w:cstheme="minorHAnsi"/>
                <w:szCs w:val="22"/>
              </w:rPr>
              <w:t xml:space="preserve">låtande Bolaget) </w:t>
            </w:r>
            <w:r w:rsidR="00AD57E2" w:rsidRPr="006E6148">
              <w:rPr>
                <w:rFonts w:asciiTheme="minorHAnsi" w:hAnsiTheme="minorHAnsi" w:cstheme="minorHAnsi"/>
                <w:szCs w:val="22"/>
              </w:rPr>
              <w:t xml:space="preserve">vars aktier är noterade på </w:t>
            </w:r>
            <w:r w:rsidR="006257D5" w:rsidRPr="006E6148">
              <w:rPr>
                <w:rFonts w:asciiTheme="minorHAnsi" w:hAnsiTheme="minorHAnsi" w:cstheme="minorHAnsi"/>
                <w:szCs w:val="22"/>
              </w:rPr>
              <w:t>Nasdaq St</w:t>
            </w:r>
            <w:r w:rsidR="0004349A">
              <w:rPr>
                <w:rFonts w:asciiTheme="minorHAnsi" w:hAnsiTheme="minorHAnsi" w:cstheme="minorHAnsi"/>
                <w:szCs w:val="22"/>
              </w:rPr>
              <w:t>ockholm</w:t>
            </w:r>
            <w:r w:rsidR="003251F7">
              <w:rPr>
                <w:rFonts w:asciiTheme="minorHAnsi" w:hAnsiTheme="minorHAnsi" w:cstheme="minorHAnsi"/>
                <w:szCs w:val="22"/>
              </w:rPr>
              <w:t xml:space="preserve"> och</w:t>
            </w:r>
            <w:r w:rsidR="007003A0">
              <w:rPr>
                <w:rFonts w:asciiTheme="minorHAnsi" w:hAnsiTheme="minorHAnsi" w:cstheme="minorHAnsi"/>
                <w:szCs w:val="22"/>
              </w:rPr>
              <w:t xml:space="preserve"> </w:t>
            </w:r>
            <w:r w:rsidRPr="006E6148">
              <w:rPr>
                <w:rFonts w:asciiTheme="minorHAnsi" w:hAnsiTheme="minorHAnsi" w:cstheme="minorHAnsi"/>
                <w:szCs w:val="22"/>
              </w:rPr>
              <w:t>Nasdaq Köpenhamn</w:t>
            </w:r>
            <w:r w:rsidR="006257D5" w:rsidRPr="006E6148">
              <w:rPr>
                <w:rFonts w:asciiTheme="minorHAnsi" w:hAnsiTheme="minorHAnsi" w:cstheme="minorHAnsi"/>
                <w:szCs w:val="22"/>
              </w:rPr>
              <w:t xml:space="preserve"> </w:t>
            </w:r>
            <w:r w:rsidR="003251F7">
              <w:rPr>
                <w:rFonts w:asciiTheme="minorHAnsi" w:hAnsiTheme="minorHAnsi" w:cstheme="minorHAnsi"/>
                <w:szCs w:val="22"/>
              </w:rPr>
              <w:t xml:space="preserve">samt, genom depåbevis, </w:t>
            </w:r>
            <w:r w:rsidR="00AC1161">
              <w:rPr>
                <w:rFonts w:asciiTheme="minorHAnsi" w:hAnsiTheme="minorHAnsi" w:cstheme="minorHAnsi"/>
                <w:szCs w:val="22"/>
              </w:rPr>
              <w:t xml:space="preserve">på </w:t>
            </w:r>
            <w:r w:rsidRPr="006E6148">
              <w:rPr>
                <w:rFonts w:asciiTheme="minorHAnsi" w:hAnsiTheme="minorHAnsi" w:cstheme="minorHAnsi"/>
                <w:szCs w:val="22"/>
              </w:rPr>
              <w:t>Nasdaq Helsingfors.</w:t>
            </w:r>
            <w:r w:rsidR="006257D5" w:rsidRPr="006E6148">
              <w:rPr>
                <w:rFonts w:asciiTheme="minorHAnsi" w:hAnsiTheme="minorHAnsi" w:cstheme="minorHAnsi"/>
                <w:szCs w:val="22"/>
              </w:rPr>
              <w:t xml:space="preserve"> </w:t>
            </w:r>
            <w:r w:rsidRPr="006E6148">
              <w:rPr>
                <w:rFonts w:asciiTheme="minorHAnsi" w:hAnsiTheme="minorHAnsi" w:cstheme="minorHAnsi"/>
                <w:szCs w:val="22"/>
              </w:rPr>
              <w:t>D</w:t>
            </w:r>
            <w:r w:rsidR="006257D5" w:rsidRPr="00F10197">
              <w:rPr>
                <w:rFonts w:asciiTheme="minorHAnsi" w:hAnsiTheme="minorHAnsi" w:cstheme="minorHAnsi"/>
                <w:szCs w:val="22"/>
              </w:rPr>
              <w:t xml:space="preserve">et </w:t>
            </w:r>
            <w:r w:rsidR="0039060F">
              <w:rPr>
                <w:rFonts w:asciiTheme="minorHAnsi" w:hAnsiTheme="minorHAnsi" w:cstheme="minorHAnsi"/>
                <w:szCs w:val="22"/>
              </w:rPr>
              <w:t>Fusionerade</w:t>
            </w:r>
            <w:r w:rsidR="0039060F" w:rsidRPr="00F10197">
              <w:rPr>
                <w:rFonts w:asciiTheme="minorHAnsi" w:hAnsiTheme="minorHAnsi" w:cstheme="minorHAnsi"/>
                <w:szCs w:val="22"/>
              </w:rPr>
              <w:t xml:space="preserve"> </w:t>
            </w:r>
            <w:r w:rsidR="006257D5" w:rsidRPr="00F10197">
              <w:rPr>
                <w:rFonts w:asciiTheme="minorHAnsi" w:hAnsiTheme="minorHAnsi" w:cstheme="minorHAnsi"/>
                <w:szCs w:val="22"/>
              </w:rPr>
              <w:t xml:space="preserve">Bolaget kommer </w:t>
            </w:r>
            <w:r>
              <w:rPr>
                <w:rFonts w:asciiTheme="minorHAnsi" w:hAnsiTheme="minorHAnsi" w:cstheme="minorHAnsi"/>
                <w:szCs w:val="22"/>
              </w:rPr>
              <w:t xml:space="preserve">vidare </w:t>
            </w:r>
            <w:r w:rsidR="006257D5" w:rsidRPr="00F10197">
              <w:rPr>
                <w:rFonts w:asciiTheme="minorHAnsi" w:hAnsiTheme="minorHAnsi" w:cstheme="minorHAnsi"/>
                <w:szCs w:val="22"/>
              </w:rPr>
              <w:t>att ha sitt säte i Helsingfors i</w:t>
            </w:r>
            <w:r w:rsidR="001847EF" w:rsidRPr="00F10197">
              <w:rPr>
                <w:rFonts w:asciiTheme="minorHAnsi" w:hAnsiTheme="minorHAnsi" w:cstheme="minorHAnsi"/>
                <w:szCs w:val="22"/>
              </w:rPr>
              <w:t xml:space="preserve"> </w:t>
            </w:r>
            <w:r w:rsidR="006257D5" w:rsidRPr="00F10197">
              <w:rPr>
                <w:rFonts w:asciiTheme="minorHAnsi" w:hAnsiTheme="minorHAnsi" w:cstheme="minorHAnsi"/>
                <w:szCs w:val="22"/>
              </w:rPr>
              <w:t>stället för i Stockholm.</w:t>
            </w:r>
          </w:p>
        </w:tc>
        <w:tc>
          <w:tcPr>
            <w:tcW w:w="103" w:type="pct"/>
          </w:tcPr>
          <w:p w14:paraId="3AA5F705" w14:textId="77777777" w:rsidR="006257D5" w:rsidRPr="00742EF0" w:rsidRDefault="006257D5" w:rsidP="006257D5">
            <w:pPr>
              <w:jc w:val="right"/>
            </w:pPr>
          </w:p>
        </w:tc>
        <w:tc>
          <w:tcPr>
            <w:tcW w:w="258" w:type="pct"/>
          </w:tcPr>
          <w:p w14:paraId="0C024719" w14:textId="679F9C21" w:rsidR="006257D5" w:rsidRPr="006E6148" w:rsidRDefault="00A553A2" w:rsidP="006257D5">
            <w:pPr>
              <w:rPr>
                <w:lang w:val="en-GB"/>
              </w:rPr>
            </w:pPr>
            <w:r w:rsidRPr="006E6148">
              <w:rPr>
                <w:lang w:val="en-GB"/>
              </w:rPr>
              <w:t>4.1.2</w:t>
            </w:r>
          </w:p>
        </w:tc>
        <w:tc>
          <w:tcPr>
            <w:tcW w:w="1342" w:type="pct"/>
          </w:tcPr>
          <w:p w14:paraId="4E6E3A1C" w14:textId="1B86764C" w:rsidR="006257D5" w:rsidRPr="00D70B47" w:rsidRDefault="009D056D" w:rsidP="0039060F">
            <w:pPr>
              <w:rPr>
                <w:szCs w:val="24"/>
                <w:lang w:val="en-GB"/>
              </w:rPr>
            </w:pPr>
            <w:r>
              <w:rPr>
                <w:rFonts w:asciiTheme="minorHAnsi" w:hAnsiTheme="minorHAnsi" w:cstheme="minorHAnsi"/>
                <w:lang w:val="en-GB"/>
              </w:rPr>
              <w:t>As the Transferee Company is a Finnish company, t</w:t>
            </w:r>
            <w:r w:rsidR="006257D5">
              <w:rPr>
                <w:rFonts w:asciiTheme="minorHAnsi" w:hAnsiTheme="minorHAnsi" w:cstheme="minorHAnsi"/>
                <w:lang w:val="en-GB"/>
              </w:rPr>
              <w:t>he shareholders</w:t>
            </w:r>
            <w:r w:rsidR="00512A78">
              <w:rPr>
                <w:rFonts w:asciiTheme="minorHAnsi" w:hAnsiTheme="minorHAnsi" w:cstheme="minorHAnsi"/>
                <w:lang w:val="en-GB"/>
              </w:rPr>
              <w:t xml:space="preserve"> of</w:t>
            </w:r>
            <w:r>
              <w:rPr>
                <w:rFonts w:asciiTheme="minorHAnsi" w:hAnsiTheme="minorHAnsi" w:cstheme="minorHAnsi"/>
                <w:lang w:val="en-GB"/>
              </w:rPr>
              <w:t xml:space="preserve"> the Transferor Company</w:t>
            </w:r>
            <w:r w:rsidR="006257D5">
              <w:rPr>
                <w:rFonts w:asciiTheme="minorHAnsi" w:hAnsiTheme="minorHAnsi" w:cstheme="minorHAnsi"/>
                <w:lang w:val="en-GB"/>
              </w:rPr>
              <w:t xml:space="preserve"> will receive shares in a Fin</w:t>
            </w:r>
            <w:r w:rsidR="00C05588">
              <w:rPr>
                <w:rFonts w:asciiTheme="minorHAnsi" w:hAnsiTheme="minorHAnsi" w:cstheme="minorHAnsi"/>
                <w:lang w:val="en-GB"/>
              </w:rPr>
              <w:t>n</w:t>
            </w:r>
            <w:r w:rsidR="006257D5">
              <w:rPr>
                <w:rFonts w:asciiTheme="minorHAnsi" w:hAnsiTheme="minorHAnsi" w:cstheme="minorHAnsi"/>
                <w:lang w:val="en-GB"/>
              </w:rPr>
              <w:t xml:space="preserve">ish company </w:t>
            </w:r>
            <w:r w:rsidR="009A3296">
              <w:rPr>
                <w:rFonts w:asciiTheme="minorHAnsi" w:hAnsiTheme="minorHAnsi" w:cstheme="minorHAnsi"/>
                <w:lang w:val="en-GB"/>
              </w:rPr>
              <w:t xml:space="preserve">whose shares </w:t>
            </w:r>
            <w:r w:rsidR="009F0A6C">
              <w:rPr>
                <w:rFonts w:asciiTheme="minorHAnsi" w:hAnsiTheme="minorHAnsi" w:cstheme="minorHAnsi"/>
                <w:lang w:val="en-GB"/>
              </w:rPr>
              <w:t>will be</w:t>
            </w:r>
            <w:r w:rsidR="009A3296">
              <w:rPr>
                <w:rFonts w:asciiTheme="minorHAnsi" w:hAnsiTheme="minorHAnsi" w:cstheme="minorHAnsi"/>
                <w:lang w:val="en-GB"/>
              </w:rPr>
              <w:t xml:space="preserve"> listed on </w:t>
            </w:r>
            <w:r w:rsidR="006257D5">
              <w:rPr>
                <w:rFonts w:asciiTheme="minorHAnsi" w:hAnsiTheme="minorHAnsi" w:cstheme="minorHAnsi"/>
                <w:lang w:val="en-GB"/>
              </w:rPr>
              <w:t xml:space="preserve">Nasdaq </w:t>
            </w:r>
            <w:r>
              <w:rPr>
                <w:rFonts w:asciiTheme="minorHAnsi" w:hAnsiTheme="minorHAnsi" w:cstheme="minorHAnsi"/>
                <w:lang w:val="en-GB"/>
              </w:rPr>
              <w:t xml:space="preserve">Stockholm, Nasdaq Copenhagen and Nasdaq </w:t>
            </w:r>
            <w:r w:rsidR="006257D5">
              <w:rPr>
                <w:rFonts w:asciiTheme="minorHAnsi" w:hAnsiTheme="minorHAnsi" w:cstheme="minorHAnsi"/>
                <w:lang w:val="en-GB"/>
              </w:rPr>
              <w:t>Helsinki instead of shares in a Swedish company</w:t>
            </w:r>
            <w:r>
              <w:rPr>
                <w:rFonts w:asciiTheme="minorHAnsi" w:hAnsiTheme="minorHAnsi" w:cstheme="minorHAnsi"/>
                <w:lang w:val="en-GB"/>
              </w:rPr>
              <w:t xml:space="preserve"> (</w:t>
            </w:r>
            <w:r>
              <w:rPr>
                <w:rFonts w:asciiTheme="minorHAnsi" w:hAnsiTheme="minorHAnsi" w:cstheme="minorHAnsi"/>
                <w:i/>
                <w:lang w:val="en-GB"/>
              </w:rPr>
              <w:t>i.e.</w:t>
            </w:r>
            <w:r>
              <w:rPr>
                <w:rFonts w:asciiTheme="minorHAnsi" w:hAnsiTheme="minorHAnsi" w:cstheme="minorHAnsi"/>
                <w:lang w:val="en-GB"/>
              </w:rPr>
              <w:t>, the Transferor Company)</w:t>
            </w:r>
            <w:r w:rsidR="006257D5">
              <w:rPr>
                <w:rFonts w:asciiTheme="minorHAnsi" w:hAnsiTheme="minorHAnsi" w:cstheme="minorHAnsi"/>
                <w:lang w:val="en-GB"/>
              </w:rPr>
              <w:t xml:space="preserve"> </w:t>
            </w:r>
            <w:r w:rsidR="009A3296">
              <w:rPr>
                <w:rFonts w:asciiTheme="minorHAnsi" w:hAnsiTheme="minorHAnsi" w:cstheme="minorHAnsi"/>
                <w:lang w:val="en-GB"/>
              </w:rPr>
              <w:t xml:space="preserve">whose shares are listed on </w:t>
            </w:r>
            <w:r w:rsidR="006257D5">
              <w:rPr>
                <w:rFonts w:asciiTheme="minorHAnsi" w:hAnsiTheme="minorHAnsi" w:cstheme="minorHAnsi"/>
                <w:lang w:val="en-GB"/>
              </w:rPr>
              <w:t>Nasdaq Stockholm</w:t>
            </w:r>
            <w:r w:rsidR="003251F7">
              <w:rPr>
                <w:rFonts w:asciiTheme="minorHAnsi" w:hAnsiTheme="minorHAnsi" w:cstheme="minorHAnsi"/>
                <w:lang w:val="en-GB"/>
              </w:rPr>
              <w:t xml:space="preserve"> and</w:t>
            </w:r>
            <w:r w:rsidR="00F92B60">
              <w:rPr>
                <w:rFonts w:asciiTheme="minorHAnsi" w:hAnsiTheme="minorHAnsi" w:cstheme="minorHAnsi"/>
                <w:lang w:val="en-GB"/>
              </w:rPr>
              <w:t xml:space="preserve"> Nasdaq Copenhagen</w:t>
            </w:r>
            <w:r w:rsidR="006257D5">
              <w:rPr>
                <w:rFonts w:asciiTheme="minorHAnsi" w:hAnsiTheme="minorHAnsi" w:cstheme="minorHAnsi"/>
                <w:lang w:val="en-GB"/>
              </w:rPr>
              <w:t xml:space="preserve"> </w:t>
            </w:r>
            <w:r w:rsidR="003251F7">
              <w:rPr>
                <w:rFonts w:asciiTheme="minorHAnsi" w:hAnsiTheme="minorHAnsi" w:cstheme="minorHAnsi"/>
                <w:lang w:val="en-GB"/>
              </w:rPr>
              <w:t xml:space="preserve">as well as, through depository receipts, </w:t>
            </w:r>
            <w:r w:rsidR="003B0AA7">
              <w:rPr>
                <w:rFonts w:asciiTheme="minorHAnsi" w:hAnsiTheme="minorHAnsi" w:cstheme="minorHAnsi"/>
                <w:lang w:val="en-GB"/>
              </w:rPr>
              <w:t xml:space="preserve">on </w:t>
            </w:r>
            <w:r w:rsidR="00F92B60">
              <w:rPr>
                <w:rFonts w:asciiTheme="minorHAnsi" w:hAnsiTheme="minorHAnsi" w:cstheme="minorHAnsi"/>
                <w:lang w:val="en-GB"/>
              </w:rPr>
              <w:t>Nasdaq Helsinki.</w:t>
            </w:r>
            <w:r w:rsidR="006257D5">
              <w:rPr>
                <w:rFonts w:asciiTheme="minorHAnsi" w:hAnsiTheme="minorHAnsi" w:cstheme="minorHAnsi"/>
                <w:lang w:val="en-GB"/>
              </w:rPr>
              <w:t xml:space="preserve"> </w:t>
            </w:r>
            <w:r w:rsidR="00F92B60">
              <w:rPr>
                <w:rFonts w:asciiTheme="minorHAnsi" w:hAnsiTheme="minorHAnsi" w:cstheme="minorHAnsi"/>
                <w:lang w:val="en-GB"/>
              </w:rPr>
              <w:t>Further, t</w:t>
            </w:r>
            <w:r w:rsidR="006257D5">
              <w:rPr>
                <w:rFonts w:asciiTheme="minorHAnsi" w:hAnsiTheme="minorHAnsi" w:cstheme="minorHAnsi"/>
                <w:lang w:val="en-GB"/>
              </w:rPr>
              <w:t xml:space="preserve">he </w:t>
            </w:r>
            <w:r w:rsidR="0039060F">
              <w:rPr>
                <w:rFonts w:asciiTheme="minorHAnsi" w:hAnsiTheme="minorHAnsi" w:cstheme="minorHAnsi"/>
                <w:lang w:val="en-GB"/>
              </w:rPr>
              <w:t xml:space="preserve">Merged </w:t>
            </w:r>
            <w:r w:rsidR="006257D5">
              <w:rPr>
                <w:rFonts w:asciiTheme="minorHAnsi" w:hAnsiTheme="minorHAnsi" w:cstheme="minorHAnsi"/>
                <w:lang w:val="en-GB"/>
              </w:rPr>
              <w:t>Company will have its registered office in Helsinki instead of in Stockholm</w:t>
            </w:r>
            <w:r w:rsidR="00FF4DBA">
              <w:rPr>
                <w:rFonts w:asciiTheme="minorHAnsi" w:hAnsiTheme="minorHAnsi" w:cstheme="minorHAnsi"/>
                <w:lang w:val="en-GB"/>
              </w:rPr>
              <w:t>.</w:t>
            </w:r>
          </w:p>
        </w:tc>
        <w:tc>
          <w:tcPr>
            <w:tcW w:w="103" w:type="pct"/>
          </w:tcPr>
          <w:p w14:paraId="75B82E91" w14:textId="77777777" w:rsidR="006257D5" w:rsidRDefault="006257D5" w:rsidP="006257D5">
            <w:pPr>
              <w:rPr>
                <w:rFonts w:asciiTheme="minorHAnsi" w:hAnsiTheme="minorHAnsi" w:cstheme="minorHAnsi"/>
                <w:szCs w:val="22"/>
                <w:lang w:val="en-GB"/>
              </w:rPr>
            </w:pPr>
          </w:p>
        </w:tc>
        <w:tc>
          <w:tcPr>
            <w:tcW w:w="257" w:type="pct"/>
          </w:tcPr>
          <w:p w14:paraId="35DF6E2E" w14:textId="2217E12C" w:rsidR="006257D5" w:rsidRPr="00BF3F61" w:rsidRDefault="004F2FE5" w:rsidP="006257D5">
            <w:pPr>
              <w:rPr>
                <w:lang w:val="en-US"/>
              </w:rPr>
            </w:pPr>
            <w:r>
              <w:rPr>
                <w:lang w:val="en-US"/>
              </w:rPr>
              <w:t>4.1</w:t>
            </w:r>
            <w:r w:rsidR="00F45DC9">
              <w:rPr>
                <w:lang w:val="en-US"/>
              </w:rPr>
              <w:t>.</w:t>
            </w:r>
            <w:r>
              <w:rPr>
                <w:lang w:val="en-US"/>
              </w:rPr>
              <w:t>2</w:t>
            </w:r>
          </w:p>
        </w:tc>
        <w:tc>
          <w:tcPr>
            <w:tcW w:w="1338" w:type="pct"/>
          </w:tcPr>
          <w:p w14:paraId="5792BE24" w14:textId="7A11A5FE" w:rsidR="006257D5" w:rsidRPr="00982A05" w:rsidRDefault="00A550B2" w:rsidP="000B5CE5">
            <w:pPr>
              <w:rPr>
                <w:rFonts w:asciiTheme="minorHAnsi" w:hAnsiTheme="minorHAnsi" w:cstheme="minorHAnsi"/>
                <w:lang w:val="fi-FI"/>
              </w:rPr>
            </w:pPr>
            <w:r>
              <w:rPr>
                <w:rFonts w:asciiTheme="minorHAnsi" w:hAnsiTheme="minorHAnsi" w:cstheme="minorHAnsi"/>
                <w:lang w:val="fi-FI"/>
              </w:rPr>
              <w:t>Koska Vastaanottava Yhtiö on suomalainen yhtiö, Sul</w:t>
            </w:r>
            <w:r w:rsidR="002555A5">
              <w:rPr>
                <w:rFonts w:asciiTheme="minorHAnsi" w:hAnsiTheme="minorHAnsi" w:cstheme="minorHAnsi"/>
                <w:lang w:val="fi-FI"/>
              </w:rPr>
              <w:t>a</w:t>
            </w:r>
            <w:r>
              <w:rPr>
                <w:rFonts w:asciiTheme="minorHAnsi" w:hAnsiTheme="minorHAnsi" w:cstheme="minorHAnsi"/>
                <w:lang w:val="fi-FI"/>
              </w:rPr>
              <w:t>utuvan Yhtiön o</w:t>
            </w:r>
            <w:r w:rsidRPr="00982A05">
              <w:rPr>
                <w:rFonts w:asciiTheme="minorHAnsi" w:hAnsiTheme="minorHAnsi" w:cstheme="minorHAnsi"/>
                <w:lang w:val="fi-FI"/>
              </w:rPr>
              <w:t xml:space="preserve">sakkeenomistajat </w:t>
            </w:r>
            <w:r w:rsidR="004F2FE5" w:rsidRPr="00982A05">
              <w:rPr>
                <w:rFonts w:asciiTheme="minorHAnsi" w:hAnsiTheme="minorHAnsi" w:cstheme="minorHAnsi"/>
                <w:lang w:val="fi-FI"/>
              </w:rPr>
              <w:t>saavat osakkeita suomalaisessa yhti</w:t>
            </w:r>
            <w:r w:rsidR="004F2FE5" w:rsidRPr="00850260">
              <w:rPr>
                <w:rFonts w:asciiTheme="minorHAnsi" w:hAnsiTheme="minorHAnsi" w:cstheme="minorHAnsi"/>
                <w:lang w:val="fi-FI"/>
              </w:rPr>
              <w:t>össä</w:t>
            </w:r>
            <w:r w:rsidR="00F45DC9">
              <w:rPr>
                <w:rFonts w:asciiTheme="minorHAnsi" w:hAnsiTheme="minorHAnsi" w:cstheme="minorHAnsi"/>
                <w:lang w:val="fi-FI"/>
              </w:rPr>
              <w:t>,</w:t>
            </w:r>
            <w:r w:rsidR="004F2FE5" w:rsidRPr="00850260">
              <w:rPr>
                <w:rFonts w:asciiTheme="minorHAnsi" w:hAnsiTheme="minorHAnsi" w:cstheme="minorHAnsi"/>
                <w:lang w:val="fi-FI"/>
              </w:rPr>
              <w:t xml:space="preserve"> jonka osakkeet on listattu Nasdaq </w:t>
            </w:r>
            <w:r>
              <w:rPr>
                <w:rFonts w:asciiTheme="minorHAnsi" w:hAnsiTheme="minorHAnsi" w:cstheme="minorHAnsi"/>
                <w:lang w:val="fi-FI"/>
              </w:rPr>
              <w:t xml:space="preserve">Tukholmassa, Nasdaq Kööpenhaminassa ja Nasdaq </w:t>
            </w:r>
            <w:r w:rsidR="004F2FE5" w:rsidRPr="00850260">
              <w:rPr>
                <w:rFonts w:asciiTheme="minorHAnsi" w:hAnsiTheme="minorHAnsi" w:cstheme="minorHAnsi"/>
                <w:lang w:val="fi-FI"/>
              </w:rPr>
              <w:t xml:space="preserve">Helsingissä </w:t>
            </w:r>
            <w:r w:rsidR="00850260">
              <w:rPr>
                <w:rFonts w:asciiTheme="minorHAnsi" w:hAnsiTheme="minorHAnsi" w:cstheme="minorHAnsi"/>
                <w:lang w:val="fi-FI"/>
              </w:rPr>
              <w:t xml:space="preserve">ruotsalaisen yhtiön </w:t>
            </w:r>
            <w:r>
              <w:rPr>
                <w:rFonts w:asciiTheme="minorHAnsi" w:hAnsiTheme="minorHAnsi" w:cstheme="minorHAnsi"/>
                <w:lang w:val="fi-FI"/>
              </w:rPr>
              <w:t xml:space="preserve">(eli Sulautuvan Yhtiön) </w:t>
            </w:r>
            <w:r w:rsidR="002555A5" w:rsidRPr="002B6CA9">
              <w:rPr>
                <w:rFonts w:asciiTheme="minorHAnsi" w:hAnsiTheme="minorHAnsi" w:cstheme="minorHAnsi"/>
                <w:lang w:val="fi-FI"/>
              </w:rPr>
              <w:t xml:space="preserve">osakkeiden sijaan, jonka </w:t>
            </w:r>
            <w:r w:rsidR="002B6CA9" w:rsidRPr="001E1672">
              <w:rPr>
                <w:rFonts w:asciiTheme="minorHAnsi" w:hAnsiTheme="minorHAnsi" w:cstheme="minorHAnsi"/>
                <w:lang w:val="fi-FI"/>
              </w:rPr>
              <w:t xml:space="preserve">yhtiön </w:t>
            </w:r>
            <w:r w:rsidR="002555A5" w:rsidRPr="002B6CA9">
              <w:rPr>
                <w:rFonts w:asciiTheme="minorHAnsi" w:hAnsiTheme="minorHAnsi" w:cstheme="minorHAnsi"/>
                <w:lang w:val="fi-FI"/>
              </w:rPr>
              <w:t>osakkeet</w:t>
            </w:r>
            <w:r w:rsidR="002555A5">
              <w:rPr>
                <w:rFonts w:asciiTheme="minorHAnsi" w:hAnsiTheme="minorHAnsi" w:cstheme="minorHAnsi"/>
                <w:lang w:val="fi-FI"/>
              </w:rPr>
              <w:t xml:space="preserve"> on listattu Nasdaq Tukholmassa ja Nasdaq Kööpenhaminassa</w:t>
            </w:r>
            <w:r>
              <w:rPr>
                <w:rFonts w:asciiTheme="minorHAnsi" w:hAnsiTheme="minorHAnsi" w:cstheme="minorHAnsi"/>
                <w:lang w:val="fi-FI"/>
              </w:rPr>
              <w:t xml:space="preserve"> sekä </w:t>
            </w:r>
            <w:r w:rsidR="0074713A">
              <w:rPr>
                <w:rFonts w:asciiTheme="minorHAnsi" w:hAnsiTheme="minorHAnsi" w:cstheme="minorHAnsi"/>
                <w:lang w:val="fi-FI"/>
              </w:rPr>
              <w:t xml:space="preserve">Nasdaq Helsingissä </w:t>
            </w:r>
            <w:r w:rsidR="002555A5">
              <w:rPr>
                <w:rFonts w:asciiTheme="minorHAnsi" w:hAnsiTheme="minorHAnsi" w:cstheme="minorHAnsi"/>
                <w:lang w:val="fi-FI"/>
              </w:rPr>
              <w:t>talletustodistusten kautta</w:t>
            </w:r>
            <w:r>
              <w:rPr>
                <w:rFonts w:asciiTheme="minorHAnsi" w:hAnsiTheme="minorHAnsi" w:cstheme="minorHAnsi"/>
                <w:lang w:val="fi-FI"/>
              </w:rPr>
              <w:t>.</w:t>
            </w:r>
            <w:r w:rsidR="00850260">
              <w:rPr>
                <w:rFonts w:asciiTheme="minorHAnsi" w:hAnsiTheme="minorHAnsi" w:cstheme="minorHAnsi"/>
                <w:lang w:val="fi-FI"/>
              </w:rPr>
              <w:t xml:space="preserve"> </w:t>
            </w:r>
            <w:r w:rsidR="000B5CE5">
              <w:rPr>
                <w:rFonts w:asciiTheme="minorHAnsi" w:hAnsiTheme="minorHAnsi" w:cstheme="minorHAnsi"/>
                <w:lang w:val="fi-FI"/>
              </w:rPr>
              <w:t xml:space="preserve">Sulautuneen </w:t>
            </w:r>
            <w:r w:rsidR="00850260">
              <w:rPr>
                <w:rFonts w:asciiTheme="minorHAnsi" w:hAnsiTheme="minorHAnsi" w:cstheme="minorHAnsi"/>
                <w:lang w:val="fi-FI"/>
              </w:rPr>
              <w:t xml:space="preserve">Yhtiön kotipaikka </w:t>
            </w:r>
            <w:r>
              <w:rPr>
                <w:rFonts w:asciiTheme="minorHAnsi" w:hAnsiTheme="minorHAnsi" w:cstheme="minorHAnsi"/>
                <w:lang w:val="fi-FI"/>
              </w:rPr>
              <w:t xml:space="preserve">tulee lisäksi olemaan </w:t>
            </w:r>
            <w:r w:rsidR="00850260">
              <w:rPr>
                <w:rFonts w:asciiTheme="minorHAnsi" w:hAnsiTheme="minorHAnsi" w:cstheme="minorHAnsi"/>
                <w:lang w:val="fi-FI"/>
              </w:rPr>
              <w:t>Tukholman sijaan Helsingissä.</w:t>
            </w:r>
          </w:p>
        </w:tc>
      </w:tr>
    </w:tbl>
    <w:p w14:paraId="44D3F40F" w14:textId="77777777" w:rsidR="00317950" w:rsidRDefault="00317950">
      <w:r>
        <w:br w:type="page"/>
      </w:r>
    </w:p>
    <w:tbl>
      <w:tblPr>
        <w:tblStyle w:val="Tabellrutnt"/>
        <w:tblW w:w="1375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688"/>
        <w:gridCol w:w="283"/>
        <w:gridCol w:w="710"/>
        <w:gridCol w:w="3691"/>
        <w:gridCol w:w="283"/>
        <w:gridCol w:w="712"/>
        <w:gridCol w:w="3674"/>
      </w:tblGrid>
      <w:tr w:rsidR="00D56D80" w:rsidRPr="00890B1B" w14:paraId="4A453283" w14:textId="77777777" w:rsidTr="00317950">
        <w:tc>
          <w:tcPr>
            <w:tcW w:w="258" w:type="pct"/>
          </w:tcPr>
          <w:p w14:paraId="19A81E04" w14:textId="711EC762" w:rsidR="00B1339F" w:rsidRPr="00C46C8E" w:rsidRDefault="00B1339F" w:rsidP="00B1339F">
            <w:pPr>
              <w:rPr>
                <w:rFonts w:asciiTheme="minorHAnsi" w:hAnsiTheme="minorHAnsi" w:cstheme="minorHAnsi"/>
                <w:szCs w:val="22"/>
                <w:lang w:val="fi-FI"/>
              </w:rPr>
            </w:pPr>
            <w:r w:rsidRPr="00C46C8E">
              <w:rPr>
                <w:rFonts w:asciiTheme="minorHAnsi" w:hAnsiTheme="minorHAnsi" w:cstheme="minorHAnsi"/>
                <w:szCs w:val="22"/>
                <w:lang w:val="fi-FI"/>
              </w:rPr>
              <w:lastRenderedPageBreak/>
              <w:t>4.1.3</w:t>
            </w:r>
          </w:p>
        </w:tc>
        <w:tc>
          <w:tcPr>
            <w:tcW w:w="1341" w:type="pct"/>
          </w:tcPr>
          <w:p w14:paraId="61944C1B" w14:textId="765A17DE" w:rsidR="00B1339F" w:rsidRPr="00D72519" w:rsidRDefault="00780F68" w:rsidP="002021A3">
            <w:pPr>
              <w:rPr>
                <w:rFonts w:asciiTheme="minorHAnsi" w:hAnsiTheme="minorHAnsi" w:cstheme="minorHAnsi"/>
                <w:szCs w:val="22"/>
              </w:rPr>
            </w:pPr>
            <w:r>
              <w:rPr>
                <w:rFonts w:asciiTheme="minorHAnsi" w:hAnsiTheme="minorHAnsi" w:cstheme="minorHAnsi"/>
                <w:szCs w:val="22"/>
              </w:rPr>
              <w:t>Styrelsernas bedömning är att Fusionen främjar aktieägarnas i det Överlåtande Bolaget intressen</w:t>
            </w:r>
            <w:r w:rsidR="00D72519">
              <w:rPr>
                <w:rFonts w:asciiTheme="minorHAnsi" w:hAnsiTheme="minorHAnsi" w:cstheme="minorHAnsi"/>
                <w:szCs w:val="22"/>
              </w:rPr>
              <w:t xml:space="preserve">. </w:t>
            </w:r>
            <w:r w:rsidRPr="00C47970">
              <w:rPr>
                <w:rFonts w:asciiTheme="minorHAnsi" w:hAnsiTheme="minorHAnsi" w:cstheme="minorHAnsi"/>
                <w:szCs w:val="22"/>
              </w:rPr>
              <w:t xml:space="preserve">Vad gäller Fusionens konsekvenser för </w:t>
            </w:r>
            <w:r>
              <w:rPr>
                <w:rFonts w:asciiTheme="minorHAnsi" w:hAnsiTheme="minorHAnsi" w:cstheme="minorHAnsi"/>
                <w:szCs w:val="22"/>
              </w:rPr>
              <w:t>aktieägarna</w:t>
            </w:r>
            <w:r w:rsidRPr="00C47970">
              <w:rPr>
                <w:rFonts w:asciiTheme="minorHAnsi" w:hAnsiTheme="minorHAnsi" w:cstheme="minorHAnsi"/>
                <w:szCs w:val="22"/>
              </w:rPr>
              <w:t xml:space="preserve"> i de</w:t>
            </w:r>
            <w:r>
              <w:rPr>
                <w:rFonts w:asciiTheme="minorHAnsi" w:hAnsiTheme="minorHAnsi" w:cstheme="minorHAnsi"/>
                <w:szCs w:val="22"/>
              </w:rPr>
              <w:t>t</w:t>
            </w:r>
            <w:r w:rsidRPr="00C47970">
              <w:rPr>
                <w:rFonts w:asciiTheme="minorHAnsi" w:hAnsiTheme="minorHAnsi" w:cstheme="minorHAnsi"/>
                <w:szCs w:val="22"/>
              </w:rPr>
              <w:t xml:space="preserve"> </w:t>
            </w:r>
            <w:r>
              <w:rPr>
                <w:rFonts w:asciiTheme="minorHAnsi" w:hAnsiTheme="minorHAnsi" w:cstheme="minorHAnsi"/>
                <w:szCs w:val="22"/>
              </w:rPr>
              <w:t xml:space="preserve">Överlåtande Bolaget ska också följande beaktas. </w:t>
            </w:r>
            <w:r w:rsidR="00020C71">
              <w:rPr>
                <w:rFonts w:asciiTheme="minorHAnsi" w:hAnsiTheme="minorHAnsi" w:cstheme="minorHAnsi"/>
                <w:szCs w:val="22"/>
              </w:rPr>
              <w:t xml:space="preserve">Eftersom det </w:t>
            </w:r>
            <w:r w:rsidR="0039060F">
              <w:rPr>
                <w:rFonts w:asciiTheme="minorHAnsi" w:hAnsiTheme="minorHAnsi" w:cstheme="minorHAnsi"/>
                <w:szCs w:val="22"/>
              </w:rPr>
              <w:t xml:space="preserve">Fusionerade </w:t>
            </w:r>
            <w:r w:rsidR="00020C71">
              <w:rPr>
                <w:rFonts w:asciiTheme="minorHAnsi" w:hAnsiTheme="minorHAnsi" w:cstheme="minorHAnsi"/>
                <w:szCs w:val="22"/>
              </w:rPr>
              <w:t xml:space="preserve">Bolaget </w:t>
            </w:r>
            <w:r w:rsidR="00A47F48">
              <w:rPr>
                <w:rFonts w:asciiTheme="minorHAnsi" w:hAnsiTheme="minorHAnsi" w:cstheme="minorHAnsi"/>
                <w:szCs w:val="22"/>
              </w:rPr>
              <w:t>är</w:t>
            </w:r>
            <w:r w:rsidR="00020C71">
              <w:rPr>
                <w:rFonts w:asciiTheme="minorHAnsi" w:hAnsiTheme="minorHAnsi" w:cstheme="minorHAnsi"/>
                <w:szCs w:val="22"/>
              </w:rPr>
              <w:t xml:space="preserve"> ett finskt aktiebolag</w:t>
            </w:r>
            <w:r w:rsidR="0039060F">
              <w:rPr>
                <w:rFonts w:asciiTheme="minorHAnsi" w:hAnsiTheme="minorHAnsi" w:cstheme="minorHAnsi"/>
                <w:szCs w:val="22"/>
              </w:rPr>
              <w:t>,</w:t>
            </w:r>
            <w:r w:rsidR="00020C71">
              <w:rPr>
                <w:rFonts w:asciiTheme="minorHAnsi" w:hAnsiTheme="minorHAnsi" w:cstheme="minorHAnsi"/>
                <w:szCs w:val="22"/>
              </w:rPr>
              <w:t xml:space="preserve"> kommer eventuella vinstutdelningar från det </w:t>
            </w:r>
            <w:r w:rsidR="0039060F">
              <w:rPr>
                <w:rFonts w:asciiTheme="minorHAnsi" w:hAnsiTheme="minorHAnsi" w:cstheme="minorHAnsi"/>
                <w:szCs w:val="22"/>
              </w:rPr>
              <w:t>Fusionerade</w:t>
            </w:r>
            <w:r w:rsidR="00020C71">
              <w:rPr>
                <w:rFonts w:asciiTheme="minorHAnsi" w:hAnsiTheme="minorHAnsi" w:cstheme="minorHAnsi"/>
                <w:szCs w:val="22"/>
              </w:rPr>
              <w:t xml:space="preserve"> Bolaget att vara föremål för finsk</w:t>
            </w:r>
            <w:r w:rsidR="0039060F">
              <w:rPr>
                <w:rFonts w:asciiTheme="minorHAnsi" w:hAnsiTheme="minorHAnsi" w:cstheme="minorHAnsi"/>
                <w:szCs w:val="22"/>
              </w:rPr>
              <w:t xml:space="preserve"> lagstiftning</w:t>
            </w:r>
            <w:r w:rsidR="00020C71">
              <w:rPr>
                <w:rFonts w:asciiTheme="minorHAnsi" w:hAnsiTheme="minorHAnsi" w:cstheme="minorHAnsi"/>
                <w:szCs w:val="22"/>
              </w:rPr>
              <w:t xml:space="preserve"> om </w:t>
            </w:r>
            <w:r w:rsidR="00A47F48" w:rsidRPr="00A47F48">
              <w:rPr>
                <w:rFonts w:asciiTheme="minorHAnsi" w:hAnsiTheme="minorHAnsi" w:cstheme="minorHAnsi"/>
                <w:szCs w:val="22"/>
              </w:rPr>
              <w:t xml:space="preserve">förskottsuppbörd </w:t>
            </w:r>
            <w:r w:rsidR="00A47F48">
              <w:rPr>
                <w:rFonts w:asciiTheme="minorHAnsi" w:hAnsiTheme="minorHAnsi" w:cstheme="minorHAnsi"/>
                <w:szCs w:val="22"/>
              </w:rPr>
              <w:t xml:space="preserve">och </w:t>
            </w:r>
            <w:r w:rsidR="00020C71">
              <w:rPr>
                <w:rFonts w:asciiTheme="minorHAnsi" w:hAnsiTheme="minorHAnsi" w:cstheme="minorHAnsi"/>
                <w:szCs w:val="22"/>
              </w:rPr>
              <w:t>källskatt. För närvarande finns det</w:t>
            </w:r>
            <w:r w:rsidR="007A6074">
              <w:rPr>
                <w:rFonts w:asciiTheme="minorHAnsi" w:hAnsiTheme="minorHAnsi" w:cstheme="minorHAnsi"/>
                <w:szCs w:val="22"/>
              </w:rPr>
              <w:t xml:space="preserve"> i Finland</w:t>
            </w:r>
            <w:r w:rsidR="00020C71">
              <w:rPr>
                <w:rFonts w:asciiTheme="minorHAnsi" w:hAnsiTheme="minorHAnsi" w:cstheme="minorHAnsi"/>
                <w:szCs w:val="22"/>
              </w:rPr>
              <w:t xml:space="preserve"> ett utkast till regeringsförslag</w:t>
            </w:r>
            <w:r w:rsidR="007A6074">
              <w:rPr>
                <w:rFonts w:asciiTheme="minorHAnsi" w:hAnsiTheme="minorHAnsi" w:cstheme="minorHAnsi"/>
                <w:szCs w:val="22"/>
              </w:rPr>
              <w:t xml:space="preserve"> </w:t>
            </w:r>
            <w:r w:rsidR="00020C71">
              <w:rPr>
                <w:rFonts w:asciiTheme="minorHAnsi" w:hAnsiTheme="minorHAnsi" w:cstheme="minorHAnsi"/>
                <w:szCs w:val="22"/>
              </w:rPr>
              <w:t xml:space="preserve">om </w:t>
            </w:r>
            <w:r w:rsidR="00635F1F">
              <w:rPr>
                <w:rFonts w:asciiTheme="minorHAnsi" w:hAnsiTheme="minorHAnsi" w:cstheme="minorHAnsi"/>
                <w:szCs w:val="22"/>
              </w:rPr>
              <w:t xml:space="preserve">att ändra </w:t>
            </w:r>
            <w:r w:rsidR="00A47F48" w:rsidRPr="00A47F48">
              <w:rPr>
                <w:rFonts w:asciiTheme="minorHAnsi" w:hAnsiTheme="minorHAnsi" w:cstheme="minorHAnsi"/>
                <w:szCs w:val="22"/>
              </w:rPr>
              <w:t>förskottsuppbörd</w:t>
            </w:r>
            <w:r w:rsidR="00A47F48">
              <w:rPr>
                <w:rFonts w:asciiTheme="minorHAnsi" w:hAnsiTheme="minorHAnsi" w:cstheme="minorHAnsi"/>
                <w:szCs w:val="22"/>
              </w:rPr>
              <w:t>s-</w:t>
            </w:r>
            <w:r w:rsidR="00A47F48" w:rsidRPr="00A47F48">
              <w:rPr>
                <w:rFonts w:asciiTheme="minorHAnsi" w:hAnsiTheme="minorHAnsi" w:cstheme="minorHAnsi"/>
                <w:szCs w:val="22"/>
              </w:rPr>
              <w:t xml:space="preserve"> och </w:t>
            </w:r>
            <w:r w:rsidR="00020C71">
              <w:rPr>
                <w:rFonts w:asciiTheme="minorHAnsi" w:hAnsiTheme="minorHAnsi" w:cstheme="minorHAnsi"/>
                <w:szCs w:val="22"/>
              </w:rPr>
              <w:t xml:space="preserve">källskattelagstiftningen rörande förvaltarregistrerade aktier. Om </w:t>
            </w:r>
            <w:r w:rsidR="001B4B0C">
              <w:rPr>
                <w:rFonts w:asciiTheme="minorHAnsi" w:hAnsiTheme="minorHAnsi" w:cstheme="minorHAnsi"/>
                <w:szCs w:val="22"/>
              </w:rPr>
              <w:t xml:space="preserve">lagstiftningen ändras </w:t>
            </w:r>
            <w:r w:rsidR="00DD4A02">
              <w:rPr>
                <w:rFonts w:asciiTheme="minorHAnsi" w:hAnsiTheme="minorHAnsi" w:cstheme="minorHAnsi"/>
                <w:szCs w:val="22"/>
              </w:rPr>
              <w:t xml:space="preserve">i enlighet med </w:t>
            </w:r>
            <w:r w:rsidR="00D72519">
              <w:rPr>
                <w:rFonts w:asciiTheme="minorHAnsi" w:hAnsiTheme="minorHAnsi" w:cstheme="minorHAnsi"/>
                <w:szCs w:val="22"/>
              </w:rPr>
              <w:t>förslag</w:t>
            </w:r>
            <w:r w:rsidR="00DD4A02">
              <w:rPr>
                <w:rFonts w:asciiTheme="minorHAnsi" w:hAnsiTheme="minorHAnsi" w:cstheme="minorHAnsi"/>
                <w:szCs w:val="22"/>
              </w:rPr>
              <w:t>sutkastet</w:t>
            </w:r>
            <w:r w:rsidR="0039060F">
              <w:rPr>
                <w:rFonts w:asciiTheme="minorHAnsi" w:hAnsiTheme="minorHAnsi" w:cstheme="minorHAnsi"/>
                <w:szCs w:val="22"/>
              </w:rPr>
              <w:t>,</w:t>
            </w:r>
            <w:r w:rsidR="00020C71">
              <w:rPr>
                <w:rFonts w:asciiTheme="minorHAnsi" w:hAnsiTheme="minorHAnsi" w:cstheme="minorHAnsi"/>
                <w:szCs w:val="22"/>
              </w:rPr>
              <w:t xml:space="preserve"> </w:t>
            </w:r>
            <w:r w:rsidR="00635F1F">
              <w:rPr>
                <w:rFonts w:asciiTheme="minorHAnsi" w:hAnsiTheme="minorHAnsi" w:cstheme="minorHAnsi"/>
                <w:szCs w:val="22"/>
              </w:rPr>
              <w:t>kommer</w:t>
            </w:r>
            <w:r w:rsidR="00777BE3">
              <w:rPr>
                <w:rFonts w:asciiTheme="minorHAnsi" w:hAnsiTheme="minorHAnsi" w:cstheme="minorHAnsi"/>
                <w:szCs w:val="22"/>
              </w:rPr>
              <w:t xml:space="preserve"> </w:t>
            </w:r>
            <w:r w:rsidR="00DD4A02" w:rsidRPr="00DD4A02">
              <w:rPr>
                <w:rFonts w:asciiTheme="minorHAnsi" w:hAnsiTheme="minorHAnsi" w:cstheme="minorHAnsi"/>
                <w:szCs w:val="22"/>
              </w:rPr>
              <w:t>förskotts</w:t>
            </w:r>
            <w:r w:rsidR="000C5A9A">
              <w:rPr>
                <w:rFonts w:asciiTheme="minorHAnsi" w:hAnsiTheme="minorHAnsi" w:cstheme="minorHAnsi"/>
                <w:szCs w:val="22"/>
              </w:rPr>
              <w:softHyphen/>
            </w:r>
            <w:r w:rsidR="00DD4A02" w:rsidRPr="00DD4A02">
              <w:rPr>
                <w:rFonts w:asciiTheme="minorHAnsi" w:hAnsiTheme="minorHAnsi" w:cstheme="minorHAnsi"/>
                <w:szCs w:val="22"/>
              </w:rPr>
              <w:t>uppbörd</w:t>
            </w:r>
            <w:r w:rsidR="00DD4A02">
              <w:rPr>
                <w:rFonts w:asciiTheme="minorHAnsi" w:hAnsiTheme="minorHAnsi" w:cstheme="minorHAnsi"/>
                <w:szCs w:val="22"/>
              </w:rPr>
              <w:t xml:space="preserve"> på 50 procent </w:t>
            </w:r>
            <w:r w:rsidR="002021A3">
              <w:rPr>
                <w:rFonts w:asciiTheme="minorHAnsi" w:hAnsiTheme="minorHAnsi" w:cstheme="minorHAnsi"/>
                <w:szCs w:val="22"/>
              </w:rPr>
              <w:t xml:space="preserve">att </w:t>
            </w:r>
            <w:r w:rsidR="00DD4A02">
              <w:rPr>
                <w:rFonts w:asciiTheme="minorHAnsi" w:hAnsiTheme="minorHAnsi" w:cstheme="minorHAnsi"/>
                <w:szCs w:val="22"/>
              </w:rPr>
              <w:t>uppbäras</w:t>
            </w:r>
            <w:r w:rsidR="00777BE3">
              <w:rPr>
                <w:rFonts w:asciiTheme="minorHAnsi" w:hAnsiTheme="minorHAnsi" w:cstheme="minorHAnsi"/>
                <w:szCs w:val="22"/>
              </w:rPr>
              <w:t xml:space="preserve"> på vinstutdelningar </w:t>
            </w:r>
            <w:r w:rsidR="00875871">
              <w:rPr>
                <w:rFonts w:asciiTheme="minorHAnsi" w:hAnsiTheme="minorHAnsi" w:cstheme="minorHAnsi"/>
                <w:szCs w:val="22"/>
              </w:rPr>
              <w:t>som ska betalas för</w:t>
            </w:r>
            <w:r w:rsidR="00777BE3">
              <w:rPr>
                <w:rFonts w:asciiTheme="minorHAnsi" w:hAnsiTheme="minorHAnsi" w:cstheme="minorHAnsi"/>
                <w:szCs w:val="22"/>
              </w:rPr>
              <w:t xml:space="preserve"> förvaltarregistrerade aktier</w:t>
            </w:r>
            <w:r w:rsidR="00635F1F">
              <w:rPr>
                <w:rFonts w:asciiTheme="minorHAnsi" w:hAnsiTheme="minorHAnsi" w:cstheme="minorHAnsi"/>
                <w:szCs w:val="22"/>
              </w:rPr>
              <w:t xml:space="preserve"> </w:t>
            </w:r>
            <w:r w:rsidR="00777BE3">
              <w:rPr>
                <w:rFonts w:asciiTheme="minorHAnsi" w:hAnsiTheme="minorHAnsi" w:cstheme="minorHAnsi"/>
                <w:szCs w:val="22"/>
              </w:rPr>
              <w:t xml:space="preserve">om </w:t>
            </w:r>
            <w:r w:rsidR="0039060F">
              <w:rPr>
                <w:rFonts w:asciiTheme="minorHAnsi" w:hAnsiTheme="minorHAnsi" w:cstheme="minorHAnsi"/>
                <w:szCs w:val="22"/>
              </w:rPr>
              <w:t xml:space="preserve">betalaren </w:t>
            </w:r>
            <w:r w:rsidR="00033FB2">
              <w:rPr>
                <w:rFonts w:asciiTheme="minorHAnsi" w:hAnsiTheme="minorHAnsi" w:cstheme="minorHAnsi"/>
                <w:szCs w:val="22"/>
              </w:rPr>
              <w:t>av</w:t>
            </w:r>
            <w:r w:rsidR="00777BE3">
              <w:rPr>
                <w:rFonts w:asciiTheme="minorHAnsi" w:hAnsiTheme="minorHAnsi" w:cstheme="minorHAnsi"/>
                <w:szCs w:val="22"/>
              </w:rPr>
              <w:t xml:space="preserve"> utdelningen inte har information om mottagaren </w:t>
            </w:r>
            <w:r w:rsidR="00EB68D7">
              <w:rPr>
                <w:rFonts w:asciiTheme="minorHAnsi" w:hAnsiTheme="minorHAnsi" w:cstheme="minorHAnsi"/>
                <w:szCs w:val="22"/>
              </w:rPr>
              <w:t>av utdelningen</w:t>
            </w:r>
            <w:r w:rsidR="001E7C76">
              <w:rPr>
                <w:rFonts w:asciiTheme="minorHAnsi" w:hAnsiTheme="minorHAnsi" w:cstheme="minorHAnsi"/>
                <w:szCs w:val="22"/>
              </w:rPr>
              <w:t>. O</w:t>
            </w:r>
            <w:r w:rsidR="00777BE3">
              <w:rPr>
                <w:rFonts w:asciiTheme="minorHAnsi" w:hAnsiTheme="minorHAnsi" w:cstheme="minorHAnsi"/>
                <w:szCs w:val="22"/>
              </w:rPr>
              <w:t>m den registrerade förvaltaren har bekräftat att mottag</w:t>
            </w:r>
            <w:r w:rsidR="000C5A9A">
              <w:rPr>
                <w:rFonts w:asciiTheme="minorHAnsi" w:hAnsiTheme="minorHAnsi" w:cstheme="minorHAnsi"/>
                <w:szCs w:val="22"/>
              </w:rPr>
              <w:softHyphen/>
            </w:r>
            <w:r w:rsidR="00777BE3">
              <w:rPr>
                <w:rFonts w:asciiTheme="minorHAnsi" w:hAnsiTheme="minorHAnsi" w:cstheme="minorHAnsi"/>
                <w:szCs w:val="22"/>
              </w:rPr>
              <w:t>aren av utdelningen är be</w:t>
            </w:r>
            <w:r w:rsidR="00033FB2">
              <w:rPr>
                <w:rFonts w:asciiTheme="minorHAnsi" w:hAnsiTheme="minorHAnsi" w:cstheme="minorHAnsi"/>
                <w:szCs w:val="22"/>
              </w:rPr>
              <w:t>gränsat skatt</w:t>
            </w:r>
            <w:r w:rsidR="00DD0E0A">
              <w:rPr>
                <w:rFonts w:asciiTheme="minorHAnsi" w:hAnsiTheme="minorHAnsi" w:cstheme="minorHAnsi"/>
                <w:szCs w:val="22"/>
              </w:rPr>
              <w:t>e</w:t>
            </w:r>
            <w:r w:rsidR="00317950">
              <w:rPr>
                <w:rFonts w:asciiTheme="minorHAnsi" w:hAnsiTheme="minorHAnsi" w:cstheme="minorHAnsi"/>
                <w:szCs w:val="22"/>
              </w:rPr>
              <w:softHyphen/>
            </w:r>
            <w:r w:rsidR="00033FB2">
              <w:rPr>
                <w:rFonts w:asciiTheme="minorHAnsi" w:hAnsiTheme="minorHAnsi" w:cstheme="minorHAnsi"/>
                <w:szCs w:val="22"/>
              </w:rPr>
              <w:lastRenderedPageBreak/>
              <w:t>skyldig i Finland</w:t>
            </w:r>
            <w:r w:rsidR="00777BE3">
              <w:rPr>
                <w:rFonts w:asciiTheme="minorHAnsi" w:hAnsiTheme="minorHAnsi" w:cstheme="minorHAnsi"/>
                <w:szCs w:val="22"/>
              </w:rPr>
              <w:t xml:space="preserve"> men inte har till</w:t>
            </w:r>
            <w:r w:rsidR="00317950">
              <w:rPr>
                <w:rFonts w:asciiTheme="minorHAnsi" w:hAnsiTheme="minorHAnsi" w:cstheme="minorHAnsi"/>
                <w:szCs w:val="22"/>
              </w:rPr>
              <w:softHyphen/>
            </w:r>
            <w:r w:rsidR="00777BE3">
              <w:rPr>
                <w:rFonts w:asciiTheme="minorHAnsi" w:hAnsiTheme="minorHAnsi" w:cstheme="minorHAnsi"/>
                <w:szCs w:val="22"/>
              </w:rPr>
              <w:t xml:space="preserve">handahållit </w:t>
            </w:r>
            <w:r w:rsidR="0039060F">
              <w:rPr>
                <w:rFonts w:asciiTheme="minorHAnsi" w:hAnsiTheme="minorHAnsi" w:cstheme="minorHAnsi"/>
                <w:szCs w:val="22"/>
              </w:rPr>
              <w:t xml:space="preserve">betalaren </w:t>
            </w:r>
            <w:r w:rsidR="00777BE3">
              <w:rPr>
                <w:rFonts w:asciiTheme="minorHAnsi" w:hAnsiTheme="minorHAnsi" w:cstheme="minorHAnsi"/>
                <w:szCs w:val="22"/>
              </w:rPr>
              <w:t>av utdel</w:t>
            </w:r>
            <w:r w:rsidR="000C5A9A">
              <w:rPr>
                <w:rFonts w:asciiTheme="minorHAnsi" w:hAnsiTheme="minorHAnsi" w:cstheme="minorHAnsi"/>
                <w:szCs w:val="22"/>
              </w:rPr>
              <w:softHyphen/>
            </w:r>
            <w:r w:rsidR="00777BE3">
              <w:rPr>
                <w:rFonts w:asciiTheme="minorHAnsi" w:hAnsiTheme="minorHAnsi" w:cstheme="minorHAnsi"/>
                <w:szCs w:val="22"/>
              </w:rPr>
              <w:t xml:space="preserve">ningen viss annan </w:t>
            </w:r>
            <w:r w:rsidR="0039060F">
              <w:rPr>
                <w:rFonts w:asciiTheme="minorHAnsi" w:hAnsiTheme="minorHAnsi" w:cstheme="minorHAnsi"/>
                <w:szCs w:val="22"/>
              </w:rPr>
              <w:t xml:space="preserve">erforderlig </w:t>
            </w:r>
            <w:r w:rsidR="00777BE3">
              <w:rPr>
                <w:rFonts w:asciiTheme="minorHAnsi" w:hAnsiTheme="minorHAnsi" w:cstheme="minorHAnsi"/>
                <w:szCs w:val="22"/>
              </w:rPr>
              <w:t>inform</w:t>
            </w:r>
            <w:r w:rsidR="000C5A9A">
              <w:rPr>
                <w:rFonts w:asciiTheme="minorHAnsi" w:hAnsiTheme="minorHAnsi" w:cstheme="minorHAnsi"/>
                <w:szCs w:val="22"/>
              </w:rPr>
              <w:softHyphen/>
            </w:r>
            <w:r w:rsidR="00777BE3">
              <w:rPr>
                <w:rFonts w:asciiTheme="minorHAnsi" w:hAnsiTheme="minorHAnsi" w:cstheme="minorHAnsi"/>
                <w:szCs w:val="22"/>
              </w:rPr>
              <w:t>ation</w:t>
            </w:r>
            <w:r w:rsidR="0039060F">
              <w:rPr>
                <w:rFonts w:asciiTheme="minorHAnsi" w:hAnsiTheme="minorHAnsi" w:cstheme="minorHAnsi"/>
                <w:szCs w:val="22"/>
              </w:rPr>
              <w:t>,</w:t>
            </w:r>
            <w:r w:rsidR="001E7C76">
              <w:rPr>
                <w:rFonts w:asciiTheme="minorHAnsi" w:hAnsiTheme="minorHAnsi" w:cstheme="minorHAnsi"/>
                <w:szCs w:val="22"/>
              </w:rPr>
              <w:t xml:space="preserve"> </w:t>
            </w:r>
            <w:r w:rsidR="00DD4A02">
              <w:rPr>
                <w:rFonts w:asciiTheme="minorHAnsi" w:hAnsiTheme="minorHAnsi" w:cstheme="minorHAnsi"/>
                <w:szCs w:val="22"/>
              </w:rPr>
              <w:t xml:space="preserve">ska </w:t>
            </w:r>
            <w:r w:rsidR="001E7C76">
              <w:rPr>
                <w:rFonts w:asciiTheme="minorHAnsi" w:hAnsiTheme="minorHAnsi" w:cstheme="minorHAnsi"/>
                <w:szCs w:val="22"/>
              </w:rPr>
              <w:t xml:space="preserve">källskatt </w:t>
            </w:r>
            <w:r w:rsidR="00DD4A02">
              <w:rPr>
                <w:rFonts w:asciiTheme="minorHAnsi" w:hAnsiTheme="minorHAnsi" w:cstheme="minorHAnsi"/>
                <w:szCs w:val="22"/>
              </w:rPr>
              <w:t xml:space="preserve">på </w:t>
            </w:r>
            <w:r w:rsidR="001E7C76">
              <w:rPr>
                <w:rFonts w:asciiTheme="minorHAnsi" w:hAnsiTheme="minorHAnsi" w:cstheme="minorHAnsi"/>
                <w:szCs w:val="22"/>
              </w:rPr>
              <w:t>35 procent</w:t>
            </w:r>
            <w:r w:rsidR="00DD4A02">
              <w:rPr>
                <w:rFonts w:asciiTheme="minorHAnsi" w:hAnsiTheme="minorHAnsi" w:cstheme="minorHAnsi"/>
                <w:szCs w:val="22"/>
              </w:rPr>
              <w:t xml:space="preserve"> uppbäras</w:t>
            </w:r>
            <w:r w:rsidR="00777BE3">
              <w:rPr>
                <w:rFonts w:asciiTheme="minorHAnsi" w:hAnsiTheme="minorHAnsi" w:cstheme="minorHAnsi"/>
                <w:szCs w:val="22"/>
              </w:rPr>
              <w:t xml:space="preserve">. För att </w:t>
            </w:r>
            <w:r w:rsidR="00033FB2">
              <w:rPr>
                <w:rFonts w:asciiTheme="minorHAnsi" w:hAnsiTheme="minorHAnsi" w:cstheme="minorHAnsi"/>
                <w:szCs w:val="22"/>
              </w:rPr>
              <w:t xml:space="preserve">kunna </w:t>
            </w:r>
            <w:r w:rsidR="00DD0E0A">
              <w:rPr>
                <w:rFonts w:asciiTheme="minorHAnsi" w:hAnsiTheme="minorHAnsi" w:cstheme="minorHAnsi"/>
                <w:szCs w:val="22"/>
              </w:rPr>
              <w:t xml:space="preserve">erhålla </w:t>
            </w:r>
            <w:r w:rsidR="00033FB2">
              <w:rPr>
                <w:rFonts w:asciiTheme="minorHAnsi" w:hAnsiTheme="minorHAnsi" w:cstheme="minorHAnsi"/>
                <w:szCs w:val="22"/>
              </w:rPr>
              <w:t xml:space="preserve">en </w:t>
            </w:r>
            <w:r w:rsidR="00DD0E0A">
              <w:rPr>
                <w:rFonts w:asciiTheme="minorHAnsi" w:hAnsiTheme="minorHAnsi" w:cstheme="minorHAnsi"/>
                <w:szCs w:val="22"/>
              </w:rPr>
              <w:t xml:space="preserve">direktnedsättning av </w:t>
            </w:r>
            <w:r w:rsidR="00033FB2">
              <w:rPr>
                <w:rFonts w:asciiTheme="minorHAnsi" w:hAnsiTheme="minorHAnsi" w:cstheme="minorHAnsi"/>
                <w:szCs w:val="22"/>
              </w:rPr>
              <w:t>källskatt</w:t>
            </w:r>
            <w:r w:rsidR="0039060F">
              <w:rPr>
                <w:rFonts w:asciiTheme="minorHAnsi" w:hAnsiTheme="minorHAnsi" w:cstheme="minorHAnsi"/>
                <w:szCs w:val="22"/>
              </w:rPr>
              <w:t>e</w:t>
            </w:r>
            <w:r w:rsidR="00DD0E0A">
              <w:rPr>
                <w:rFonts w:asciiTheme="minorHAnsi" w:hAnsiTheme="minorHAnsi" w:cstheme="minorHAnsi"/>
                <w:szCs w:val="22"/>
              </w:rPr>
              <w:t>n</w:t>
            </w:r>
            <w:r w:rsidR="0039060F">
              <w:rPr>
                <w:rFonts w:asciiTheme="minorHAnsi" w:hAnsiTheme="minorHAnsi" w:cstheme="minorHAnsi"/>
                <w:szCs w:val="22"/>
              </w:rPr>
              <w:t xml:space="preserve"> </w:t>
            </w:r>
            <w:r w:rsidR="00DD0E0A">
              <w:rPr>
                <w:rFonts w:asciiTheme="minorHAnsi" w:hAnsiTheme="minorHAnsi" w:cstheme="minorHAnsi"/>
                <w:szCs w:val="22"/>
              </w:rPr>
              <w:t xml:space="preserve">enligt </w:t>
            </w:r>
            <w:r w:rsidR="001E7C76">
              <w:rPr>
                <w:rFonts w:asciiTheme="minorHAnsi" w:hAnsiTheme="minorHAnsi" w:cstheme="minorHAnsi"/>
                <w:szCs w:val="22"/>
              </w:rPr>
              <w:t>relevant</w:t>
            </w:r>
            <w:r w:rsidR="00033FB2">
              <w:rPr>
                <w:rFonts w:asciiTheme="minorHAnsi" w:hAnsiTheme="minorHAnsi" w:cstheme="minorHAnsi"/>
                <w:szCs w:val="22"/>
              </w:rPr>
              <w:t xml:space="preserve"> skatteavtal </w:t>
            </w:r>
            <w:r w:rsidR="0039060F">
              <w:rPr>
                <w:rFonts w:asciiTheme="minorHAnsi" w:hAnsiTheme="minorHAnsi" w:cstheme="minorHAnsi"/>
                <w:szCs w:val="22"/>
              </w:rPr>
              <w:t>kommer det att krävas att betalaren</w:t>
            </w:r>
            <w:r w:rsidR="00777BE3">
              <w:rPr>
                <w:rFonts w:asciiTheme="minorHAnsi" w:hAnsiTheme="minorHAnsi" w:cstheme="minorHAnsi"/>
                <w:szCs w:val="22"/>
              </w:rPr>
              <w:t xml:space="preserve"> av utdelningen tillhandahålls </w:t>
            </w:r>
            <w:r w:rsidR="0039060F">
              <w:rPr>
                <w:rFonts w:asciiTheme="minorHAnsi" w:hAnsiTheme="minorHAnsi" w:cstheme="minorHAnsi"/>
                <w:szCs w:val="22"/>
              </w:rPr>
              <w:t xml:space="preserve">uppgifter om </w:t>
            </w:r>
            <w:r w:rsidR="00777BE3">
              <w:rPr>
                <w:rFonts w:asciiTheme="minorHAnsi" w:hAnsiTheme="minorHAnsi" w:cstheme="minorHAnsi"/>
                <w:szCs w:val="22"/>
              </w:rPr>
              <w:t xml:space="preserve">mottagarens </w:t>
            </w:r>
            <w:r w:rsidR="0039060F">
              <w:rPr>
                <w:rFonts w:asciiTheme="minorHAnsi" w:hAnsiTheme="minorHAnsi" w:cstheme="minorHAnsi"/>
                <w:szCs w:val="22"/>
              </w:rPr>
              <w:t>identitet</w:t>
            </w:r>
            <w:r w:rsidR="00777BE3">
              <w:rPr>
                <w:rFonts w:asciiTheme="minorHAnsi" w:hAnsiTheme="minorHAnsi" w:cstheme="minorHAnsi"/>
                <w:szCs w:val="22"/>
              </w:rPr>
              <w:t xml:space="preserve"> och en bekräftelse </w:t>
            </w:r>
            <w:r w:rsidR="00033FB2">
              <w:rPr>
                <w:rFonts w:asciiTheme="minorHAnsi" w:hAnsiTheme="minorHAnsi" w:cstheme="minorHAnsi"/>
                <w:szCs w:val="22"/>
              </w:rPr>
              <w:t xml:space="preserve">av </w:t>
            </w:r>
            <w:r w:rsidR="0039060F">
              <w:rPr>
                <w:rFonts w:asciiTheme="minorHAnsi" w:hAnsiTheme="minorHAnsi" w:cstheme="minorHAnsi"/>
                <w:szCs w:val="22"/>
              </w:rPr>
              <w:t>dennes</w:t>
            </w:r>
            <w:r w:rsidR="00777BE3">
              <w:rPr>
                <w:rFonts w:asciiTheme="minorHAnsi" w:hAnsiTheme="minorHAnsi" w:cstheme="minorHAnsi"/>
                <w:szCs w:val="22"/>
              </w:rPr>
              <w:t xml:space="preserve"> hemvist</w:t>
            </w:r>
            <w:r w:rsidR="0039060F">
              <w:rPr>
                <w:rFonts w:asciiTheme="minorHAnsi" w:hAnsiTheme="minorHAnsi" w:cstheme="minorHAnsi"/>
                <w:szCs w:val="22"/>
              </w:rPr>
              <w:t xml:space="preserve"> enligt relevant skatteavtal</w:t>
            </w:r>
            <w:r w:rsidR="00777BE3">
              <w:rPr>
                <w:rFonts w:asciiTheme="minorHAnsi" w:hAnsiTheme="minorHAnsi" w:cstheme="minorHAnsi"/>
                <w:szCs w:val="22"/>
              </w:rPr>
              <w:t xml:space="preserve">. Enligt finsk </w:t>
            </w:r>
            <w:r w:rsidR="00BA06ED">
              <w:rPr>
                <w:rFonts w:asciiTheme="minorHAnsi" w:hAnsiTheme="minorHAnsi" w:cstheme="minorHAnsi"/>
                <w:szCs w:val="22"/>
              </w:rPr>
              <w:t>skatte</w:t>
            </w:r>
            <w:r w:rsidR="0039060F">
              <w:rPr>
                <w:rFonts w:asciiTheme="minorHAnsi" w:hAnsiTheme="minorHAnsi" w:cstheme="minorHAnsi"/>
                <w:szCs w:val="22"/>
              </w:rPr>
              <w:t>lagstiftning</w:t>
            </w:r>
            <w:r w:rsidR="00777BE3">
              <w:rPr>
                <w:rFonts w:asciiTheme="minorHAnsi" w:hAnsiTheme="minorHAnsi" w:cstheme="minorHAnsi"/>
                <w:szCs w:val="22"/>
              </w:rPr>
              <w:t xml:space="preserve"> </w:t>
            </w:r>
            <w:r w:rsidR="001E7C76">
              <w:rPr>
                <w:rFonts w:asciiTheme="minorHAnsi" w:hAnsiTheme="minorHAnsi" w:cstheme="minorHAnsi"/>
                <w:szCs w:val="22"/>
              </w:rPr>
              <w:t>är</w:t>
            </w:r>
            <w:r w:rsidR="00777BE3">
              <w:rPr>
                <w:rFonts w:asciiTheme="minorHAnsi" w:hAnsiTheme="minorHAnsi" w:cstheme="minorHAnsi"/>
                <w:szCs w:val="22"/>
              </w:rPr>
              <w:t xml:space="preserve"> det emellertid </w:t>
            </w:r>
            <w:r w:rsidR="001E7C76">
              <w:rPr>
                <w:rFonts w:asciiTheme="minorHAnsi" w:hAnsiTheme="minorHAnsi" w:cstheme="minorHAnsi"/>
                <w:szCs w:val="22"/>
              </w:rPr>
              <w:t xml:space="preserve">möjligt för </w:t>
            </w:r>
            <w:r w:rsidR="00777BE3">
              <w:rPr>
                <w:rFonts w:asciiTheme="minorHAnsi" w:hAnsiTheme="minorHAnsi" w:cstheme="minorHAnsi"/>
                <w:szCs w:val="22"/>
              </w:rPr>
              <w:t>aktieägare att retroaktivt å</w:t>
            </w:r>
            <w:r w:rsidR="001E7C76">
              <w:rPr>
                <w:rFonts w:asciiTheme="minorHAnsi" w:hAnsiTheme="minorHAnsi" w:cstheme="minorHAnsi"/>
                <w:szCs w:val="22"/>
              </w:rPr>
              <w:t xml:space="preserve">terkräva eventuell överskjutande </w:t>
            </w:r>
            <w:r w:rsidR="00266FB8">
              <w:rPr>
                <w:rFonts w:asciiTheme="minorHAnsi" w:hAnsiTheme="minorHAnsi" w:cstheme="minorHAnsi"/>
                <w:szCs w:val="22"/>
              </w:rPr>
              <w:t xml:space="preserve">förskottsuppbörd eller </w:t>
            </w:r>
            <w:r w:rsidR="001E7C76">
              <w:rPr>
                <w:rFonts w:asciiTheme="minorHAnsi" w:hAnsiTheme="minorHAnsi" w:cstheme="minorHAnsi"/>
                <w:szCs w:val="22"/>
              </w:rPr>
              <w:t xml:space="preserve">källskatt. </w:t>
            </w:r>
          </w:p>
        </w:tc>
        <w:tc>
          <w:tcPr>
            <w:tcW w:w="103" w:type="pct"/>
          </w:tcPr>
          <w:p w14:paraId="113891AF" w14:textId="77777777" w:rsidR="00B1339F" w:rsidRPr="00D72519" w:rsidRDefault="00B1339F" w:rsidP="00B1339F">
            <w:pPr>
              <w:jc w:val="right"/>
            </w:pPr>
          </w:p>
        </w:tc>
        <w:tc>
          <w:tcPr>
            <w:tcW w:w="258" w:type="pct"/>
          </w:tcPr>
          <w:p w14:paraId="4239B34D" w14:textId="59E0D8AA" w:rsidR="00B1339F" w:rsidRPr="0048622E" w:rsidRDefault="00B1339F" w:rsidP="00B1339F">
            <w:r>
              <w:t>4.1.3</w:t>
            </w:r>
          </w:p>
        </w:tc>
        <w:tc>
          <w:tcPr>
            <w:tcW w:w="1342" w:type="pct"/>
          </w:tcPr>
          <w:p w14:paraId="3AA06AD0" w14:textId="2F73D18C" w:rsidR="00B1339F" w:rsidRPr="009E64A2" w:rsidRDefault="00E96E06" w:rsidP="00DE5E95">
            <w:pPr>
              <w:rPr>
                <w:rFonts w:asciiTheme="minorHAnsi" w:hAnsiTheme="minorHAnsi" w:cstheme="minorHAnsi"/>
                <w:lang w:val="en-GB"/>
              </w:rPr>
            </w:pPr>
            <w:r>
              <w:rPr>
                <w:rFonts w:asciiTheme="minorHAnsi" w:hAnsiTheme="minorHAnsi" w:cstheme="minorHAnsi"/>
                <w:lang w:val="en-GB"/>
              </w:rPr>
              <w:t xml:space="preserve">The boards of directors deem that the Merger promotes the </w:t>
            </w:r>
            <w:r w:rsidR="00020C71">
              <w:rPr>
                <w:rFonts w:asciiTheme="minorHAnsi" w:hAnsiTheme="minorHAnsi" w:cstheme="minorHAnsi"/>
                <w:lang w:val="en-GB"/>
              </w:rPr>
              <w:t xml:space="preserve">interests of the shareholders of the Transferor Company. As regards the Merger’s consequences for the shareholders of the Transferor Company, the following should also be taken into account. </w:t>
            </w:r>
            <w:r w:rsidR="004D0CD2">
              <w:rPr>
                <w:rFonts w:asciiTheme="minorHAnsi" w:hAnsiTheme="minorHAnsi" w:cstheme="minorHAnsi"/>
                <w:lang w:val="en-GB"/>
              </w:rPr>
              <w:t xml:space="preserve">As </w:t>
            </w:r>
            <w:r w:rsidR="00D72519" w:rsidRPr="00D72519">
              <w:rPr>
                <w:rFonts w:asciiTheme="minorHAnsi" w:hAnsiTheme="minorHAnsi" w:cstheme="minorHAnsi"/>
                <w:lang w:val="en-GB"/>
              </w:rPr>
              <w:t xml:space="preserve">the </w:t>
            </w:r>
            <w:r w:rsidR="0039060F">
              <w:rPr>
                <w:rFonts w:asciiTheme="minorHAnsi" w:hAnsiTheme="minorHAnsi" w:cstheme="minorHAnsi"/>
                <w:lang w:val="en-GB"/>
              </w:rPr>
              <w:t>Merged</w:t>
            </w:r>
            <w:r w:rsidR="0039060F" w:rsidRPr="00D72519">
              <w:rPr>
                <w:rFonts w:asciiTheme="minorHAnsi" w:hAnsiTheme="minorHAnsi" w:cstheme="minorHAnsi"/>
                <w:lang w:val="en-GB"/>
              </w:rPr>
              <w:t xml:space="preserve"> </w:t>
            </w:r>
            <w:r w:rsidR="00D72519" w:rsidRPr="00D72519">
              <w:rPr>
                <w:rFonts w:asciiTheme="minorHAnsi" w:hAnsiTheme="minorHAnsi" w:cstheme="minorHAnsi"/>
                <w:lang w:val="en-GB"/>
              </w:rPr>
              <w:t xml:space="preserve">Company </w:t>
            </w:r>
            <w:r w:rsidR="00A47F48">
              <w:rPr>
                <w:rFonts w:asciiTheme="minorHAnsi" w:hAnsiTheme="minorHAnsi" w:cstheme="minorHAnsi"/>
                <w:lang w:val="en-GB"/>
              </w:rPr>
              <w:t>is</w:t>
            </w:r>
            <w:r w:rsidR="0039060F" w:rsidRPr="00D72519">
              <w:rPr>
                <w:rFonts w:asciiTheme="minorHAnsi" w:hAnsiTheme="minorHAnsi" w:cstheme="minorHAnsi"/>
                <w:lang w:val="en-GB"/>
              </w:rPr>
              <w:t xml:space="preserve"> </w:t>
            </w:r>
            <w:r w:rsidR="004D0CD2">
              <w:rPr>
                <w:rFonts w:asciiTheme="minorHAnsi" w:hAnsiTheme="minorHAnsi" w:cstheme="minorHAnsi"/>
                <w:lang w:val="en-GB"/>
              </w:rPr>
              <w:t xml:space="preserve">a Finnish company, any dividends from the </w:t>
            </w:r>
            <w:r w:rsidR="0039060F">
              <w:rPr>
                <w:rFonts w:asciiTheme="minorHAnsi" w:hAnsiTheme="minorHAnsi" w:cstheme="minorHAnsi"/>
                <w:lang w:val="en-GB"/>
              </w:rPr>
              <w:t xml:space="preserve">Merged </w:t>
            </w:r>
            <w:r w:rsidR="004D0CD2">
              <w:rPr>
                <w:rFonts w:asciiTheme="minorHAnsi" w:hAnsiTheme="minorHAnsi" w:cstheme="minorHAnsi"/>
                <w:lang w:val="en-GB"/>
              </w:rPr>
              <w:t xml:space="preserve">Company will be subject to Finnish </w:t>
            </w:r>
            <w:r w:rsidR="00A47F48">
              <w:rPr>
                <w:rFonts w:asciiTheme="minorHAnsi" w:hAnsiTheme="minorHAnsi" w:cstheme="minorHAnsi"/>
                <w:lang w:val="en-GB"/>
              </w:rPr>
              <w:t xml:space="preserve">tax prepayment and </w:t>
            </w:r>
            <w:r w:rsidR="004D0CD2">
              <w:rPr>
                <w:rFonts w:asciiTheme="minorHAnsi" w:hAnsiTheme="minorHAnsi" w:cstheme="minorHAnsi"/>
                <w:lang w:val="en-GB"/>
              </w:rPr>
              <w:t xml:space="preserve">withholding tax </w:t>
            </w:r>
            <w:r w:rsidR="0039060F">
              <w:rPr>
                <w:rFonts w:asciiTheme="minorHAnsi" w:hAnsiTheme="minorHAnsi" w:cstheme="minorHAnsi"/>
                <w:lang w:val="en-GB"/>
              </w:rPr>
              <w:t>legislation</w:t>
            </w:r>
            <w:r w:rsidR="004D0CD2">
              <w:rPr>
                <w:rFonts w:asciiTheme="minorHAnsi" w:hAnsiTheme="minorHAnsi" w:cstheme="minorHAnsi"/>
                <w:lang w:val="en-GB"/>
              </w:rPr>
              <w:t>. C</w:t>
            </w:r>
            <w:r w:rsidR="004D0CD2" w:rsidRPr="002B6CA9">
              <w:rPr>
                <w:rFonts w:asciiTheme="minorHAnsi" w:hAnsiTheme="minorHAnsi" w:cstheme="minorHAnsi"/>
                <w:lang w:val="en-GB"/>
              </w:rPr>
              <w:t>urrently</w:t>
            </w:r>
            <w:r w:rsidR="004D0CD2">
              <w:rPr>
                <w:rFonts w:asciiTheme="minorHAnsi" w:hAnsiTheme="minorHAnsi" w:cstheme="minorHAnsi"/>
                <w:lang w:val="en-GB"/>
              </w:rPr>
              <w:t xml:space="preserve">, </w:t>
            </w:r>
            <w:r w:rsidR="00DE5E95">
              <w:rPr>
                <w:rFonts w:asciiTheme="minorHAnsi" w:hAnsiTheme="minorHAnsi" w:cstheme="minorHAnsi"/>
                <w:lang w:val="en-GB"/>
              </w:rPr>
              <w:t xml:space="preserve">there is </w:t>
            </w:r>
            <w:r w:rsidR="004D0CD2">
              <w:rPr>
                <w:rFonts w:asciiTheme="minorHAnsi" w:hAnsiTheme="minorHAnsi" w:cstheme="minorHAnsi"/>
                <w:lang w:val="en-GB"/>
              </w:rPr>
              <w:t xml:space="preserve">a </w:t>
            </w:r>
            <w:r w:rsidR="00DE5E95">
              <w:rPr>
                <w:rFonts w:asciiTheme="minorHAnsi" w:hAnsiTheme="minorHAnsi" w:cstheme="minorHAnsi"/>
                <w:lang w:val="en-GB"/>
              </w:rPr>
              <w:t xml:space="preserve">Finnish </w:t>
            </w:r>
            <w:r w:rsidR="004D0CD2">
              <w:rPr>
                <w:rFonts w:asciiTheme="minorHAnsi" w:hAnsiTheme="minorHAnsi" w:cstheme="minorHAnsi"/>
                <w:lang w:val="en-GB"/>
              </w:rPr>
              <w:t xml:space="preserve">draft government proposal </w:t>
            </w:r>
            <w:r w:rsidR="004D0CD2" w:rsidRPr="002B6CA9">
              <w:rPr>
                <w:rFonts w:asciiTheme="minorHAnsi" w:hAnsiTheme="minorHAnsi" w:cstheme="minorHAnsi"/>
                <w:lang w:val="en-GB"/>
              </w:rPr>
              <w:t>on amending the</w:t>
            </w:r>
            <w:r w:rsidR="004D0CD2">
              <w:rPr>
                <w:rFonts w:asciiTheme="minorHAnsi" w:hAnsiTheme="minorHAnsi" w:cstheme="minorHAnsi"/>
                <w:lang w:val="en-GB"/>
              </w:rPr>
              <w:t xml:space="preserve"> </w:t>
            </w:r>
            <w:r w:rsidR="00A47F48" w:rsidRPr="00A47F48">
              <w:rPr>
                <w:rFonts w:asciiTheme="minorHAnsi" w:hAnsiTheme="minorHAnsi" w:cstheme="minorHAnsi"/>
                <w:lang w:val="en-GB"/>
              </w:rPr>
              <w:t xml:space="preserve">tax prepayment and </w:t>
            </w:r>
            <w:r w:rsidR="004D0CD2">
              <w:rPr>
                <w:rFonts w:asciiTheme="minorHAnsi" w:hAnsiTheme="minorHAnsi" w:cstheme="minorHAnsi"/>
                <w:lang w:val="en-GB"/>
              </w:rPr>
              <w:t>withholding tax</w:t>
            </w:r>
            <w:r w:rsidR="004D0CD2" w:rsidRPr="002B6CA9">
              <w:rPr>
                <w:rFonts w:asciiTheme="minorHAnsi" w:hAnsiTheme="minorHAnsi" w:cstheme="minorHAnsi"/>
                <w:lang w:val="en-GB"/>
              </w:rPr>
              <w:t xml:space="preserve"> legislation </w:t>
            </w:r>
            <w:r w:rsidR="004D0CD2">
              <w:rPr>
                <w:rFonts w:asciiTheme="minorHAnsi" w:hAnsiTheme="minorHAnsi" w:cstheme="minorHAnsi"/>
                <w:lang w:val="en-GB"/>
              </w:rPr>
              <w:t xml:space="preserve">in relation to nominee registered shares. If the </w:t>
            </w:r>
            <w:r w:rsidR="001B4B0C">
              <w:rPr>
                <w:rFonts w:asciiTheme="minorHAnsi" w:hAnsiTheme="minorHAnsi" w:cstheme="minorHAnsi"/>
                <w:lang w:val="en-GB"/>
              </w:rPr>
              <w:t>legislation is amended in accordance with the draft proposal</w:t>
            </w:r>
            <w:r w:rsidR="004D0CD2">
              <w:rPr>
                <w:rFonts w:asciiTheme="minorHAnsi" w:hAnsiTheme="minorHAnsi" w:cstheme="minorHAnsi"/>
                <w:lang w:val="en-GB"/>
              </w:rPr>
              <w:t>,</w:t>
            </w:r>
            <w:r w:rsidR="004D0CD2" w:rsidRPr="002B6CA9">
              <w:rPr>
                <w:rFonts w:asciiTheme="minorHAnsi" w:hAnsiTheme="minorHAnsi" w:cstheme="minorHAnsi"/>
                <w:lang w:val="en-GB"/>
              </w:rPr>
              <w:t xml:space="preserve"> tax </w:t>
            </w:r>
            <w:r w:rsidR="00DD4A02">
              <w:rPr>
                <w:rFonts w:asciiTheme="minorHAnsi" w:hAnsiTheme="minorHAnsi" w:cstheme="minorHAnsi"/>
                <w:lang w:val="en-GB"/>
              </w:rPr>
              <w:t xml:space="preserve">prepayment of 50 per cent shall be levied </w:t>
            </w:r>
            <w:r w:rsidR="00635F1F">
              <w:rPr>
                <w:rFonts w:asciiTheme="minorHAnsi" w:hAnsiTheme="minorHAnsi" w:cstheme="minorHAnsi"/>
                <w:lang w:val="en-GB"/>
              </w:rPr>
              <w:t>on</w:t>
            </w:r>
            <w:r w:rsidR="004D0CD2" w:rsidRPr="002B6CA9">
              <w:rPr>
                <w:rFonts w:asciiTheme="minorHAnsi" w:hAnsiTheme="minorHAnsi" w:cstheme="minorHAnsi"/>
                <w:lang w:val="en-GB"/>
              </w:rPr>
              <w:t xml:space="preserve"> dividends payable on nominee registered shares if the </w:t>
            </w:r>
            <w:r w:rsidR="004D0CD2" w:rsidRPr="000B7F07">
              <w:rPr>
                <w:rFonts w:asciiTheme="minorHAnsi" w:hAnsiTheme="minorHAnsi" w:cstheme="minorHAnsi"/>
                <w:lang w:val="en-GB"/>
              </w:rPr>
              <w:t xml:space="preserve">distributor of </w:t>
            </w:r>
            <w:r w:rsidR="007870DC">
              <w:rPr>
                <w:rFonts w:asciiTheme="minorHAnsi" w:hAnsiTheme="minorHAnsi" w:cstheme="minorHAnsi"/>
                <w:lang w:val="en-GB"/>
              </w:rPr>
              <w:t xml:space="preserve">the </w:t>
            </w:r>
            <w:r w:rsidR="004D0CD2" w:rsidRPr="000B7F07">
              <w:rPr>
                <w:rFonts w:asciiTheme="minorHAnsi" w:hAnsiTheme="minorHAnsi" w:cstheme="minorHAnsi"/>
                <w:lang w:val="en-GB"/>
              </w:rPr>
              <w:t>dividend</w:t>
            </w:r>
            <w:r w:rsidR="004D0CD2" w:rsidRPr="000B7F07" w:rsidDel="000B7F07">
              <w:rPr>
                <w:rFonts w:asciiTheme="minorHAnsi" w:hAnsiTheme="minorHAnsi" w:cstheme="minorHAnsi"/>
                <w:lang w:val="en-GB"/>
              </w:rPr>
              <w:t xml:space="preserve"> </w:t>
            </w:r>
            <w:r w:rsidR="004D0CD2" w:rsidRPr="002B6CA9">
              <w:rPr>
                <w:rFonts w:asciiTheme="minorHAnsi" w:hAnsiTheme="minorHAnsi" w:cstheme="minorHAnsi"/>
                <w:lang w:val="en-GB"/>
              </w:rPr>
              <w:t>does not have</w:t>
            </w:r>
            <w:r w:rsidR="004D0CD2">
              <w:rPr>
                <w:rFonts w:asciiTheme="minorHAnsi" w:hAnsiTheme="minorHAnsi" w:cstheme="minorHAnsi"/>
                <w:lang w:val="en-GB"/>
              </w:rPr>
              <w:t xml:space="preserve"> any</w:t>
            </w:r>
            <w:r w:rsidR="004D0CD2" w:rsidRPr="002B6CA9">
              <w:rPr>
                <w:rFonts w:asciiTheme="minorHAnsi" w:hAnsiTheme="minorHAnsi" w:cstheme="minorHAnsi"/>
                <w:lang w:val="en-GB"/>
              </w:rPr>
              <w:t xml:space="preserve"> information on the receiver of the dividend</w:t>
            </w:r>
            <w:r w:rsidR="00635F1F">
              <w:rPr>
                <w:rFonts w:asciiTheme="minorHAnsi" w:hAnsiTheme="minorHAnsi" w:cstheme="minorHAnsi"/>
                <w:lang w:val="en-GB"/>
              </w:rPr>
              <w:t>. I</w:t>
            </w:r>
            <w:r w:rsidR="004D0CD2" w:rsidRPr="002B6CA9">
              <w:rPr>
                <w:rFonts w:asciiTheme="minorHAnsi" w:hAnsiTheme="minorHAnsi" w:cstheme="minorHAnsi"/>
                <w:lang w:val="en-GB"/>
              </w:rPr>
              <w:t xml:space="preserve">f the registered </w:t>
            </w:r>
            <w:r w:rsidR="004D0CD2">
              <w:rPr>
                <w:rFonts w:asciiTheme="minorHAnsi" w:hAnsiTheme="minorHAnsi" w:cstheme="minorHAnsi"/>
                <w:lang w:val="en-GB"/>
              </w:rPr>
              <w:t>custodian</w:t>
            </w:r>
            <w:r w:rsidR="004D0CD2" w:rsidRPr="002B6CA9">
              <w:rPr>
                <w:rFonts w:asciiTheme="minorHAnsi" w:hAnsiTheme="minorHAnsi" w:cstheme="minorHAnsi"/>
                <w:lang w:val="en-GB"/>
              </w:rPr>
              <w:t xml:space="preserve"> has verified that the receiver of the dividend is a person </w:t>
            </w:r>
            <w:r w:rsidR="004D0CD2" w:rsidRPr="002B6CA9">
              <w:rPr>
                <w:rFonts w:asciiTheme="minorHAnsi" w:hAnsiTheme="minorHAnsi" w:cstheme="minorHAnsi"/>
                <w:lang w:val="en-GB"/>
              </w:rPr>
              <w:lastRenderedPageBreak/>
              <w:t>with limited tax liability</w:t>
            </w:r>
            <w:r w:rsidR="004D0CD2">
              <w:rPr>
                <w:rFonts w:asciiTheme="minorHAnsi" w:hAnsiTheme="minorHAnsi" w:cstheme="minorHAnsi"/>
                <w:lang w:val="en-GB"/>
              </w:rPr>
              <w:t xml:space="preserve"> in Finland</w:t>
            </w:r>
            <w:r w:rsidR="004D0CD2" w:rsidRPr="002B6CA9">
              <w:rPr>
                <w:rFonts w:asciiTheme="minorHAnsi" w:hAnsiTheme="minorHAnsi" w:cstheme="minorHAnsi"/>
                <w:lang w:val="en-GB"/>
              </w:rPr>
              <w:t>,</w:t>
            </w:r>
            <w:r w:rsidR="004D0CD2">
              <w:rPr>
                <w:rFonts w:asciiTheme="minorHAnsi" w:hAnsiTheme="minorHAnsi" w:cstheme="minorHAnsi"/>
                <w:lang w:val="en-GB"/>
              </w:rPr>
              <w:t xml:space="preserve"> but</w:t>
            </w:r>
            <w:r w:rsidR="004D0CD2" w:rsidRPr="002B6CA9">
              <w:rPr>
                <w:rFonts w:asciiTheme="minorHAnsi" w:hAnsiTheme="minorHAnsi" w:cstheme="minorHAnsi"/>
                <w:lang w:val="en-GB"/>
              </w:rPr>
              <w:t xml:space="preserve"> has not provided the </w:t>
            </w:r>
            <w:r w:rsidR="004D0CD2" w:rsidRPr="000B7F07">
              <w:rPr>
                <w:rFonts w:asciiTheme="minorHAnsi" w:hAnsiTheme="minorHAnsi" w:cstheme="minorHAnsi"/>
                <w:lang w:val="en-GB"/>
              </w:rPr>
              <w:t xml:space="preserve">distributor of </w:t>
            </w:r>
            <w:r w:rsidR="00790C59">
              <w:rPr>
                <w:rFonts w:asciiTheme="minorHAnsi" w:hAnsiTheme="minorHAnsi" w:cstheme="minorHAnsi"/>
                <w:lang w:val="en-GB"/>
              </w:rPr>
              <w:t xml:space="preserve">the </w:t>
            </w:r>
            <w:r w:rsidR="004D0CD2" w:rsidRPr="000B7F07">
              <w:rPr>
                <w:rFonts w:asciiTheme="minorHAnsi" w:hAnsiTheme="minorHAnsi" w:cstheme="minorHAnsi"/>
                <w:lang w:val="en-GB"/>
              </w:rPr>
              <w:t xml:space="preserve">dividend </w:t>
            </w:r>
            <w:r w:rsidR="004D0CD2" w:rsidRPr="002B6CA9">
              <w:rPr>
                <w:rFonts w:asciiTheme="minorHAnsi" w:hAnsiTheme="minorHAnsi" w:cstheme="minorHAnsi"/>
                <w:lang w:val="en-GB"/>
              </w:rPr>
              <w:t xml:space="preserve">with </w:t>
            </w:r>
            <w:r w:rsidR="004D0CD2">
              <w:rPr>
                <w:rFonts w:asciiTheme="minorHAnsi" w:hAnsiTheme="minorHAnsi" w:cstheme="minorHAnsi"/>
                <w:lang w:val="en-GB"/>
              </w:rPr>
              <w:t>certain other required information</w:t>
            </w:r>
            <w:r w:rsidR="001E7C76">
              <w:rPr>
                <w:rFonts w:asciiTheme="minorHAnsi" w:hAnsiTheme="minorHAnsi" w:cstheme="minorHAnsi"/>
                <w:lang w:val="en-GB"/>
              </w:rPr>
              <w:t xml:space="preserve">, withholding tax </w:t>
            </w:r>
            <w:r w:rsidR="00DD4A02">
              <w:rPr>
                <w:rFonts w:asciiTheme="minorHAnsi" w:hAnsiTheme="minorHAnsi" w:cstheme="minorHAnsi"/>
                <w:lang w:val="en-GB"/>
              </w:rPr>
              <w:t xml:space="preserve">of </w:t>
            </w:r>
            <w:r w:rsidR="001E7C76">
              <w:rPr>
                <w:rFonts w:asciiTheme="minorHAnsi" w:hAnsiTheme="minorHAnsi" w:cstheme="minorHAnsi"/>
                <w:lang w:val="en-GB"/>
              </w:rPr>
              <w:t>35 per</w:t>
            </w:r>
            <w:r w:rsidR="0061624B">
              <w:rPr>
                <w:rFonts w:asciiTheme="minorHAnsi" w:hAnsiTheme="minorHAnsi" w:cstheme="minorHAnsi"/>
                <w:lang w:val="en-GB"/>
              </w:rPr>
              <w:t xml:space="preserve"> </w:t>
            </w:r>
            <w:r w:rsidR="001E7C76">
              <w:rPr>
                <w:rFonts w:asciiTheme="minorHAnsi" w:hAnsiTheme="minorHAnsi" w:cstheme="minorHAnsi"/>
                <w:lang w:val="en-GB"/>
              </w:rPr>
              <w:t>cent</w:t>
            </w:r>
            <w:r w:rsidR="00DD4A02">
              <w:rPr>
                <w:rFonts w:asciiTheme="minorHAnsi" w:hAnsiTheme="minorHAnsi" w:cstheme="minorHAnsi"/>
                <w:lang w:val="en-GB"/>
              </w:rPr>
              <w:t xml:space="preserve"> shall be levied</w:t>
            </w:r>
            <w:r w:rsidR="004D0CD2" w:rsidRPr="002B6CA9">
              <w:rPr>
                <w:rFonts w:asciiTheme="minorHAnsi" w:hAnsiTheme="minorHAnsi" w:cstheme="minorHAnsi"/>
                <w:lang w:val="en-GB"/>
              </w:rPr>
              <w:t>.</w:t>
            </w:r>
            <w:r w:rsidR="004D0CD2" w:rsidRPr="00D70B47">
              <w:rPr>
                <w:szCs w:val="24"/>
                <w:lang w:val="en-GB"/>
              </w:rPr>
              <w:t xml:space="preserve"> </w:t>
            </w:r>
            <w:r w:rsidR="004D0CD2">
              <w:rPr>
                <w:szCs w:val="24"/>
                <w:lang w:val="en-GB"/>
              </w:rPr>
              <w:t>In order to achieve a</w:t>
            </w:r>
            <w:r w:rsidR="004D0CD2" w:rsidRPr="000B7F07">
              <w:rPr>
                <w:szCs w:val="24"/>
                <w:lang w:val="en-GB"/>
              </w:rPr>
              <w:t xml:space="preserve"> </w:t>
            </w:r>
            <w:r w:rsidR="004D0CD2">
              <w:rPr>
                <w:szCs w:val="24"/>
                <w:lang w:val="en-GB"/>
              </w:rPr>
              <w:t>withholding tax rate</w:t>
            </w:r>
            <w:r w:rsidR="004D0CD2" w:rsidRPr="000B7F07">
              <w:rPr>
                <w:szCs w:val="24"/>
                <w:lang w:val="en-GB"/>
              </w:rPr>
              <w:t xml:space="preserve"> at source </w:t>
            </w:r>
            <w:r w:rsidR="004D0CD2">
              <w:rPr>
                <w:szCs w:val="24"/>
                <w:lang w:val="en-GB"/>
              </w:rPr>
              <w:t xml:space="preserve">based on the relevant </w:t>
            </w:r>
            <w:r w:rsidR="004D0CD2" w:rsidRPr="000B7F07">
              <w:rPr>
                <w:szCs w:val="24"/>
                <w:lang w:val="en-GB"/>
              </w:rPr>
              <w:t>tax tr</w:t>
            </w:r>
            <w:r w:rsidR="004D0CD2">
              <w:rPr>
                <w:szCs w:val="24"/>
                <w:lang w:val="en-GB"/>
              </w:rPr>
              <w:t>eaty, this will</w:t>
            </w:r>
            <w:r w:rsidR="004D0CD2" w:rsidRPr="000B7F07">
              <w:rPr>
                <w:szCs w:val="24"/>
                <w:lang w:val="en-GB"/>
              </w:rPr>
              <w:t xml:space="preserve"> require that the distributor of </w:t>
            </w:r>
            <w:r w:rsidR="00790C59">
              <w:rPr>
                <w:szCs w:val="24"/>
                <w:lang w:val="en-GB"/>
              </w:rPr>
              <w:t xml:space="preserve">the </w:t>
            </w:r>
            <w:r w:rsidR="004D0CD2" w:rsidRPr="000B7F07">
              <w:rPr>
                <w:szCs w:val="24"/>
                <w:lang w:val="en-GB"/>
              </w:rPr>
              <w:t xml:space="preserve">dividend is provided with the recipient’s identification details and </w:t>
            </w:r>
            <w:r w:rsidR="004D0CD2">
              <w:rPr>
                <w:szCs w:val="24"/>
                <w:lang w:val="en-GB"/>
              </w:rPr>
              <w:t xml:space="preserve">a </w:t>
            </w:r>
            <w:r w:rsidR="004D0CD2" w:rsidRPr="000B7F07">
              <w:rPr>
                <w:szCs w:val="24"/>
                <w:lang w:val="en-GB"/>
              </w:rPr>
              <w:t xml:space="preserve">confirmation of the </w:t>
            </w:r>
            <w:r w:rsidR="0039060F">
              <w:rPr>
                <w:szCs w:val="24"/>
                <w:lang w:val="en-GB"/>
              </w:rPr>
              <w:t xml:space="preserve">relevant </w:t>
            </w:r>
            <w:r w:rsidR="004D0CD2" w:rsidRPr="000B7F07">
              <w:rPr>
                <w:szCs w:val="24"/>
                <w:lang w:val="en-GB"/>
              </w:rPr>
              <w:t>tax treaty residency</w:t>
            </w:r>
            <w:r w:rsidR="004D0CD2">
              <w:rPr>
                <w:szCs w:val="24"/>
                <w:lang w:val="en-GB"/>
              </w:rPr>
              <w:t>.</w:t>
            </w:r>
            <w:r w:rsidR="004D0CD2" w:rsidRPr="000B7F07">
              <w:rPr>
                <w:szCs w:val="24"/>
                <w:lang w:val="en-GB"/>
              </w:rPr>
              <w:t xml:space="preserve"> </w:t>
            </w:r>
            <w:r w:rsidR="004D0CD2">
              <w:rPr>
                <w:szCs w:val="24"/>
                <w:lang w:val="en-GB"/>
              </w:rPr>
              <w:t xml:space="preserve">However, under </w:t>
            </w:r>
            <w:r w:rsidR="0039060F">
              <w:rPr>
                <w:szCs w:val="24"/>
                <w:lang w:val="en-GB"/>
              </w:rPr>
              <w:t xml:space="preserve">the </w:t>
            </w:r>
            <w:r w:rsidR="004D0CD2">
              <w:rPr>
                <w:szCs w:val="24"/>
                <w:lang w:val="en-GB"/>
              </w:rPr>
              <w:t xml:space="preserve">Finnish tax </w:t>
            </w:r>
            <w:r w:rsidR="0039060F">
              <w:rPr>
                <w:szCs w:val="24"/>
                <w:lang w:val="en-GB"/>
              </w:rPr>
              <w:t>legislation</w:t>
            </w:r>
            <w:r w:rsidR="004D0CD2">
              <w:rPr>
                <w:szCs w:val="24"/>
                <w:lang w:val="en-GB"/>
              </w:rPr>
              <w:t xml:space="preserve"> </w:t>
            </w:r>
            <w:r w:rsidR="00033FB2">
              <w:rPr>
                <w:szCs w:val="24"/>
                <w:lang w:val="en-GB"/>
              </w:rPr>
              <w:t xml:space="preserve">it </w:t>
            </w:r>
            <w:r w:rsidR="004D0CD2">
              <w:rPr>
                <w:szCs w:val="24"/>
                <w:lang w:val="en-GB"/>
              </w:rPr>
              <w:t xml:space="preserve">is </w:t>
            </w:r>
            <w:r w:rsidR="004D0CD2" w:rsidRPr="00F964F5">
              <w:rPr>
                <w:lang w:val="en"/>
              </w:rPr>
              <w:t>possible for share</w:t>
            </w:r>
            <w:r w:rsidR="004D0CD2" w:rsidRPr="00D035E0">
              <w:rPr>
                <w:lang w:val="en"/>
              </w:rPr>
              <w:t>holder</w:t>
            </w:r>
            <w:r w:rsidR="004D0CD2">
              <w:rPr>
                <w:lang w:val="en"/>
              </w:rPr>
              <w:t>s</w:t>
            </w:r>
            <w:r w:rsidR="004D0CD2" w:rsidRPr="00D035E0">
              <w:rPr>
                <w:lang w:val="en"/>
              </w:rPr>
              <w:t xml:space="preserve"> to</w:t>
            </w:r>
            <w:r w:rsidR="00635F1F">
              <w:rPr>
                <w:lang w:val="en"/>
              </w:rPr>
              <w:t xml:space="preserve"> retroactively</w:t>
            </w:r>
            <w:r w:rsidR="004D0CD2" w:rsidRPr="00D035E0">
              <w:rPr>
                <w:lang w:val="en"/>
              </w:rPr>
              <w:t xml:space="preserve"> re</w:t>
            </w:r>
            <w:r w:rsidR="004D0CD2" w:rsidRPr="00E4722A">
              <w:rPr>
                <w:lang w:val="en"/>
              </w:rPr>
              <w:t xml:space="preserve">claim any excess </w:t>
            </w:r>
            <w:r w:rsidR="00266FB8">
              <w:rPr>
                <w:lang w:val="en"/>
              </w:rPr>
              <w:t xml:space="preserve">tax prepayment or </w:t>
            </w:r>
            <w:r w:rsidR="004D0CD2" w:rsidRPr="00E4722A">
              <w:rPr>
                <w:lang w:val="en"/>
              </w:rPr>
              <w:t>withh</w:t>
            </w:r>
            <w:r w:rsidR="00635F1F">
              <w:rPr>
                <w:lang w:val="en"/>
              </w:rPr>
              <w:t>olding tax.</w:t>
            </w:r>
          </w:p>
        </w:tc>
        <w:tc>
          <w:tcPr>
            <w:tcW w:w="103" w:type="pct"/>
          </w:tcPr>
          <w:p w14:paraId="372E7F3C" w14:textId="77777777" w:rsidR="00B1339F" w:rsidRDefault="00B1339F" w:rsidP="00B1339F">
            <w:pPr>
              <w:rPr>
                <w:rFonts w:asciiTheme="minorHAnsi" w:hAnsiTheme="minorHAnsi" w:cstheme="minorHAnsi"/>
                <w:szCs w:val="22"/>
                <w:lang w:val="en-GB"/>
              </w:rPr>
            </w:pPr>
          </w:p>
        </w:tc>
        <w:tc>
          <w:tcPr>
            <w:tcW w:w="259" w:type="pct"/>
          </w:tcPr>
          <w:p w14:paraId="0DD3FA31" w14:textId="3F197141" w:rsidR="00B1339F" w:rsidRPr="00BF3F61" w:rsidRDefault="00850260" w:rsidP="00B1339F">
            <w:pPr>
              <w:rPr>
                <w:lang w:val="en-US"/>
              </w:rPr>
            </w:pPr>
            <w:r>
              <w:rPr>
                <w:lang w:val="en-US"/>
              </w:rPr>
              <w:t>4.1.3</w:t>
            </w:r>
          </w:p>
        </w:tc>
        <w:tc>
          <w:tcPr>
            <w:tcW w:w="1336" w:type="pct"/>
          </w:tcPr>
          <w:p w14:paraId="1831D1AA" w14:textId="75652DDF" w:rsidR="00B1339F" w:rsidRPr="00982A05" w:rsidRDefault="00592C40" w:rsidP="00F3361A">
            <w:pPr>
              <w:rPr>
                <w:rFonts w:asciiTheme="minorHAnsi" w:hAnsiTheme="minorHAnsi" w:cstheme="minorHAnsi"/>
                <w:lang w:val="fi-FI"/>
              </w:rPr>
            </w:pPr>
            <w:r>
              <w:rPr>
                <w:rFonts w:asciiTheme="minorHAnsi" w:hAnsiTheme="minorHAnsi" w:cstheme="minorHAnsi"/>
                <w:lang w:val="fi-FI"/>
              </w:rPr>
              <w:t>H</w:t>
            </w:r>
            <w:r w:rsidR="00850260" w:rsidRPr="00982A05">
              <w:rPr>
                <w:rFonts w:asciiTheme="minorHAnsi" w:hAnsiTheme="minorHAnsi" w:cstheme="minorHAnsi"/>
                <w:lang w:val="fi-FI"/>
              </w:rPr>
              <w:t xml:space="preserve">allitukset </w:t>
            </w:r>
            <w:r w:rsidR="00DC337E">
              <w:rPr>
                <w:rFonts w:asciiTheme="minorHAnsi" w:hAnsiTheme="minorHAnsi" w:cstheme="minorHAnsi"/>
                <w:lang w:val="fi-FI"/>
              </w:rPr>
              <w:t>arvioivat</w:t>
            </w:r>
            <w:r w:rsidR="00850260" w:rsidRPr="00982A05">
              <w:rPr>
                <w:rFonts w:asciiTheme="minorHAnsi" w:hAnsiTheme="minorHAnsi" w:cstheme="minorHAnsi"/>
                <w:lang w:val="fi-FI"/>
              </w:rPr>
              <w:t xml:space="preserve">, että </w:t>
            </w:r>
            <w:r w:rsidR="00A47F48">
              <w:rPr>
                <w:rFonts w:asciiTheme="minorHAnsi" w:hAnsiTheme="minorHAnsi" w:cstheme="minorHAnsi"/>
                <w:lang w:val="fi-FI"/>
              </w:rPr>
              <w:t>Sulautumin</w:t>
            </w:r>
            <w:r w:rsidR="00A47F48" w:rsidRPr="00982A05">
              <w:rPr>
                <w:rFonts w:asciiTheme="minorHAnsi" w:hAnsiTheme="minorHAnsi" w:cstheme="minorHAnsi"/>
                <w:lang w:val="fi-FI"/>
              </w:rPr>
              <w:t>e</w:t>
            </w:r>
            <w:r w:rsidR="00A47F48">
              <w:rPr>
                <w:rFonts w:asciiTheme="minorHAnsi" w:hAnsiTheme="minorHAnsi" w:cstheme="minorHAnsi"/>
                <w:lang w:val="fi-FI"/>
              </w:rPr>
              <w:t xml:space="preserve">n edistää Sulautuvan Yhtiön osakkeenomistajien intressejä. Sulautumisen vaikutuksista Sulautuvan Yhtiön osakkeenomistajiin tulee huomioida seuraava. Koska </w:t>
            </w:r>
            <w:r w:rsidR="000B5CE5">
              <w:rPr>
                <w:rFonts w:asciiTheme="minorHAnsi" w:hAnsiTheme="minorHAnsi" w:cstheme="minorHAnsi"/>
                <w:lang w:val="fi-FI"/>
              </w:rPr>
              <w:t xml:space="preserve">Sulautunut </w:t>
            </w:r>
            <w:r w:rsidR="00A47F48">
              <w:rPr>
                <w:rFonts w:asciiTheme="minorHAnsi" w:hAnsiTheme="minorHAnsi" w:cstheme="minorHAnsi"/>
                <w:lang w:val="fi-FI"/>
              </w:rPr>
              <w:t xml:space="preserve">Yhtiö on suomalainen yhtiö, tulee Suomen ennakkoperintä- ja lähdeverolainsäädäntö soveltumaan </w:t>
            </w:r>
            <w:r w:rsidR="000B5CE5">
              <w:rPr>
                <w:rFonts w:asciiTheme="minorHAnsi" w:hAnsiTheme="minorHAnsi" w:cstheme="minorHAnsi"/>
                <w:lang w:val="fi-FI"/>
              </w:rPr>
              <w:t xml:space="preserve">Sulautuneen </w:t>
            </w:r>
            <w:r w:rsidR="00A47F48">
              <w:rPr>
                <w:rFonts w:asciiTheme="minorHAnsi" w:hAnsiTheme="minorHAnsi" w:cstheme="minorHAnsi"/>
                <w:lang w:val="fi-FI"/>
              </w:rPr>
              <w:t xml:space="preserve">Yhtiön jakamiin osinkoihin. Tällä hetkellä </w:t>
            </w:r>
            <w:r w:rsidR="002B6CA9" w:rsidRPr="002B6CA9">
              <w:rPr>
                <w:rFonts w:asciiTheme="minorHAnsi" w:hAnsiTheme="minorHAnsi" w:cstheme="minorHAnsi"/>
                <w:lang w:val="fi-FI"/>
              </w:rPr>
              <w:t xml:space="preserve">Suomessa on </w:t>
            </w:r>
            <w:r w:rsidR="00A47F48">
              <w:rPr>
                <w:rFonts w:asciiTheme="minorHAnsi" w:hAnsiTheme="minorHAnsi" w:cstheme="minorHAnsi"/>
                <w:lang w:val="fi-FI"/>
              </w:rPr>
              <w:t>luonnos hallituksen esitykseksi</w:t>
            </w:r>
            <w:r w:rsidR="002B6CA9" w:rsidRPr="002B6CA9">
              <w:rPr>
                <w:rFonts w:asciiTheme="minorHAnsi" w:hAnsiTheme="minorHAnsi" w:cstheme="minorHAnsi"/>
                <w:lang w:val="fi-FI"/>
              </w:rPr>
              <w:t xml:space="preserve"> hallintarekisteröidyille osakkeille maksettavien osinkojen </w:t>
            </w:r>
            <w:r w:rsidR="00A47F48">
              <w:rPr>
                <w:rFonts w:asciiTheme="minorHAnsi" w:hAnsiTheme="minorHAnsi" w:cstheme="minorHAnsi"/>
                <w:lang w:val="fi-FI"/>
              </w:rPr>
              <w:t>ennakkoperinnän ja lähdeverotuksen muuttamisesta.</w:t>
            </w:r>
            <w:r w:rsidR="00DD4A02">
              <w:rPr>
                <w:rFonts w:asciiTheme="minorHAnsi" w:hAnsiTheme="minorHAnsi" w:cstheme="minorHAnsi"/>
                <w:lang w:val="fi-FI"/>
              </w:rPr>
              <w:t xml:space="preserve"> Mikäli lainsäädäntöä muuteta</w:t>
            </w:r>
            <w:r w:rsidR="00B85C97">
              <w:rPr>
                <w:rFonts w:asciiTheme="minorHAnsi" w:hAnsiTheme="minorHAnsi" w:cstheme="minorHAnsi"/>
                <w:lang w:val="fi-FI"/>
              </w:rPr>
              <w:t>an esitysluonnoksen mukaisesti,</w:t>
            </w:r>
            <w:r w:rsidR="00A47F48">
              <w:rPr>
                <w:rFonts w:asciiTheme="minorHAnsi" w:hAnsiTheme="minorHAnsi" w:cstheme="minorHAnsi"/>
                <w:lang w:val="fi-FI"/>
              </w:rPr>
              <w:t xml:space="preserve"> </w:t>
            </w:r>
            <w:r w:rsidR="002B6CA9" w:rsidRPr="002B6CA9">
              <w:rPr>
                <w:rFonts w:asciiTheme="minorHAnsi" w:hAnsiTheme="minorHAnsi" w:cstheme="minorHAnsi"/>
                <w:lang w:val="fi-FI"/>
              </w:rPr>
              <w:t xml:space="preserve">hallintarekisteröidylle osakkeelle maksettavasta osingosta olisi toimitettava 50 prosentin ennakonpidätys, mikäli maksajalla ei ole osingon saajan tietoja. Jos rekisteröitynyt säilyttäjä on selvittänyt, että osingon saaja on </w:t>
            </w:r>
            <w:r w:rsidR="000B5CE5">
              <w:rPr>
                <w:rFonts w:asciiTheme="minorHAnsi" w:hAnsiTheme="minorHAnsi" w:cstheme="minorHAnsi"/>
                <w:lang w:val="fi-FI"/>
              </w:rPr>
              <w:t xml:space="preserve">Suomessa </w:t>
            </w:r>
            <w:r w:rsidR="002B6CA9" w:rsidRPr="002B6CA9">
              <w:rPr>
                <w:rFonts w:asciiTheme="minorHAnsi" w:hAnsiTheme="minorHAnsi" w:cstheme="minorHAnsi"/>
                <w:lang w:val="fi-FI"/>
              </w:rPr>
              <w:t xml:space="preserve">rajoitetusti verovelvollinen henkilö ja ilmoittanut sen, mutta ei ole </w:t>
            </w:r>
            <w:r w:rsidR="002B6CA9" w:rsidRPr="002B6CA9">
              <w:rPr>
                <w:rFonts w:asciiTheme="minorHAnsi" w:hAnsiTheme="minorHAnsi" w:cstheme="minorHAnsi"/>
                <w:lang w:val="fi-FI"/>
              </w:rPr>
              <w:lastRenderedPageBreak/>
              <w:t>toimittanut muita vaadittuja tietoja osingon maksajalle, osingosta olisi perittävä 35 prosentin lähdevero.</w:t>
            </w:r>
            <w:r w:rsidR="00DD4A02">
              <w:rPr>
                <w:rFonts w:asciiTheme="minorHAnsi" w:hAnsiTheme="minorHAnsi" w:cstheme="minorHAnsi"/>
                <w:lang w:val="fi-FI"/>
              </w:rPr>
              <w:t xml:space="preserve"> </w:t>
            </w:r>
            <w:r w:rsidR="00266FB8">
              <w:rPr>
                <w:rFonts w:asciiTheme="minorHAnsi" w:hAnsiTheme="minorHAnsi" w:cstheme="minorHAnsi"/>
                <w:lang w:val="fi-FI"/>
              </w:rPr>
              <w:t>Jotta voidaan soveltaa verosopimuksen mukaista alempaa lähdeverokantaa, tulee osingonmaksajalle toimittaa osingonsaajan henkilöllisyystiedot ja vahvistus soveltuvan verosopimuksen mukaisest</w:t>
            </w:r>
            <w:r w:rsidR="00CB5DEA">
              <w:rPr>
                <w:rFonts w:asciiTheme="minorHAnsi" w:hAnsiTheme="minorHAnsi" w:cstheme="minorHAnsi"/>
                <w:lang w:val="fi-FI"/>
              </w:rPr>
              <w:t>a</w:t>
            </w:r>
            <w:r w:rsidR="00266FB8">
              <w:rPr>
                <w:rFonts w:asciiTheme="minorHAnsi" w:hAnsiTheme="minorHAnsi" w:cstheme="minorHAnsi"/>
                <w:lang w:val="fi-FI"/>
              </w:rPr>
              <w:t xml:space="preserve"> asuinpaikasta. Osakkeenomistajien on kuitenkin Suomen verolainsäädännön mukaan mahdollista hakea liikaa perityn ennakonpidätyksen tai lähdeveron takaisinmaksua jälkikäteen.</w:t>
            </w:r>
          </w:p>
        </w:tc>
      </w:tr>
      <w:tr w:rsidR="00D56D80" w:rsidRPr="00890B1B" w14:paraId="3B41B640" w14:textId="77777777" w:rsidTr="00317950">
        <w:tc>
          <w:tcPr>
            <w:tcW w:w="258" w:type="pct"/>
          </w:tcPr>
          <w:p w14:paraId="22D48443" w14:textId="0E89234B" w:rsidR="006257D5" w:rsidRPr="00982A05" w:rsidRDefault="003D378D" w:rsidP="006257D5">
            <w:pPr>
              <w:rPr>
                <w:rFonts w:asciiTheme="minorHAnsi" w:hAnsiTheme="minorHAnsi" w:cstheme="minorHAnsi"/>
                <w:szCs w:val="22"/>
                <w:lang w:val="fi-FI"/>
              </w:rPr>
            </w:pPr>
            <w:r w:rsidRPr="00982A05">
              <w:rPr>
                <w:rFonts w:asciiTheme="minorHAnsi" w:hAnsiTheme="minorHAnsi" w:cstheme="minorHAnsi"/>
                <w:szCs w:val="22"/>
                <w:lang w:val="fi-FI"/>
              </w:rPr>
              <w:lastRenderedPageBreak/>
              <w:t>4.1.4</w:t>
            </w:r>
          </w:p>
        </w:tc>
        <w:tc>
          <w:tcPr>
            <w:tcW w:w="1341" w:type="pct"/>
          </w:tcPr>
          <w:p w14:paraId="4DE2C97E" w14:textId="2F2A7072" w:rsidR="006257D5" w:rsidRDefault="006257D5" w:rsidP="001B4B0C">
            <w:pPr>
              <w:rPr>
                <w:rFonts w:asciiTheme="majorHAnsi" w:hAnsiTheme="majorHAnsi" w:cstheme="majorHAnsi"/>
                <w:sz w:val="20"/>
              </w:rPr>
            </w:pPr>
            <w:r w:rsidRPr="00C47970">
              <w:rPr>
                <w:rFonts w:asciiTheme="minorHAnsi" w:hAnsiTheme="minorHAnsi" w:cstheme="minorHAnsi"/>
                <w:szCs w:val="22"/>
              </w:rPr>
              <w:t>Vad gäller Fusionens konsekvenser för borgenärerna i de Fusionerande Bolagen bedömer sty</w:t>
            </w:r>
            <w:r w:rsidRPr="009E64A2">
              <w:rPr>
                <w:rFonts w:asciiTheme="minorHAnsi" w:hAnsiTheme="minorHAnsi" w:cstheme="minorHAnsi"/>
                <w:szCs w:val="22"/>
              </w:rPr>
              <w:t xml:space="preserve">relserna att borgenärernas fordringar kommer att vara tillräckligt skyddade och inte påverkas av Fusionen då det Fusionerade Bolaget inte förväntas representera en större kreditrisk än de Fusionerande Bolagen tillsammans. </w:t>
            </w:r>
            <w:r w:rsidRPr="009E64A2">
              <w:rPr>
                <w:rFonts w:asciiTheme="minorHAnsi" w:hAnsiTheme="minorHAnsi" w:cstheme="minorHAnsi"/>
                <w:szCs w:val="22"/>
              </w:rPr>
              <w:lastRenderedPageBreak/>
              <w:t>Styrelserna förväntar sig inte någon förändring av verksamhetens kreditrisk och därför inte någon förändring av</w:t>
            </w:r>
            <w:r w:rsidR="00DC0327">
              <w:rPr>
                <w:rFonts w:asciiTheme="minorHAnsi" w:hAnsiTheme="minorHAnsi" w:cstheme="minorHAnsi"/>
                <w:szCs w:val="22"/>
              </w:rPr>
              <w:t xml:space="preserve"> det underliggande kapitalbehovet för</w:t>
            </w:r>
            <w:r w:rsidRPr="009E64A2">
              <w:rPr>
                <w:rFonts w:asciiTheme="minorHAnsi" w:hAnsiTheme="minorHAnsi" w:cstheme="minorHAnsi"/>
                <w:szCs w:val="22"/>
              </w:rPr>
              <w:t xml:space="preserve"> </w:t>
            </w:r>
            <w:r w:rsidR="00DC0327" w:rsidRPr="009E64A2">
              <w:rPr>
                <w:rFonts w:asciiTheme="minorHAnsi" w:hAnsiTheme="minorHAnsi" w:cstheme="minorHAnsi"/>
                <w:szCs w:val="22"/>
              </w:rPr>
              <w:t>k</w:t>
            </w:r>
            <w:r w:rsidR="00DC0327">
              <w:rPr>
                <w:rFonts w:asciiTheme="minorHAnsi" w:hAnsiTheme="minorHAnsi" w:cstheme="minorHAnsi"/>
                <w:szCs w:val="22"/>
              </w:rPr>
              <w:t>reditrisken</w:t>
            </w:r>
            <w:r w:rsidRPr="009E64A2">
              <w:rPr>
                <w:rFonts w:asciiTheme="minorHAnsi" w:hAnsiTheme="minorHAnsi" w:cstheme="minorHAnsi"/>
                <w:szCs w:val="22"/>
              </w:rPr>
              <w:t>.</w:t>
            </w:r>
          </w:p>
        </w:tc>
        <w:tc>
          <w:tcPr>
            <w:tcW w:w="103" w:type="pct"/>
          </w:tcPr>
          <w:p w14:paraId="1058C7BC" w14:textId="77777777" w:rsidR="006257D5" w:rsidRDefault="006257D5" w:rsidP="006257D5">
            <w:pPr>
              <w:jc w:val="right"/>
            </w:pPr>
          </w:p>
        </w:tc>
        <w:tc>
          <w:tcPr>
            <w:tcW w:w="258" w:type="pct"/>
          </w:tcPr>
          <w:p w14:paraId="38F32C6C" w14:textId="2383E3DD" w:rsidR="006257D5" w:rsidRDefault="006257D5" w:rsidP="00A553A2">
            <w:r>
              <w:t>4.1.</w:t>
            </w:r>
            <w:r w:rsidR="00A553A2">
              <w:t>4</w:t>
            </w:r>
          </w:p>
        </w:tc>
        <w:tc>
          <w:tcPr>
            <w:tcW w:w="1342" w:type="pct"/>
          </w:tcPr>
          <w:p w14:paraId="63FBFCC1" w14:textId="1E6C0466" w:rsidR="006257D5" w:rsidRDefault="006257D5" w:rsidP="006257D5">
            <w:pPr>
              <w:rPr>
                <w:lang w:val="en-GB"/>
              </w:rPr>
            </w:pPr>
            <w:r w:rsidRPr="009E64A2">
              <w:rPr>
                <w:rFonts w:asciiTheme="minorHAnsi" w:hAnsiTheme="minorHAnsi" w:cstheme="minorHAnsi"/>
                <w:lang w:val="en-GB"/>
              </w:rPr>
              <w:t xml:space="preserve">As regards the consequences of the Merger for the creditors in the </w:t>
            </w:r>
            <w:r>
              <w:rPr>
                <w:rFonts w:asciiTheme="minorHAnsi" w:hAnsiTheme="minorHAnsi" w:cstheme="minorHAnsi"/>
                <w:lang w:val="en-GB"/>
              </w:rPr>
              <w:t>Merging</w:t>
            </w:r>
            <w:r w:rsidRPr="009E64A2">
              <w:rPr>
                <w:rFonts w:asciiTheme="minorHAnsi" w:hAnsiTheme="minorHAnsi" w:cstheme="minorHAnsi"/>
                <w:lang w:val="en-GB"/>
              </w:rPr>
              <w:t xml:space="preserve"> Companies, the boards of directors conclude that the claims of the creditors will be sufficiently protected and not affected by the Merger as the Merged Company is not expected to represent a higher credit risk than the Merging Companies jointly. The </w:t>
            </w:r>
            <w:r w:rsidRPr="009E64A2">
              <w:rPr>
                <w:rFonts w:asciiTheme="minorHAnsi" w:hAnsiTheme="minorHAnsi" w:cstheme="minorHAnsi"/>
                <w:lang w:val="en-GB"/>
              </w:rPr>
              <w:lastRenderedPageBreak/>
              <w:t>boards of direc</w:t>
            </w:r>
            <w:r w:rsidRPr="009E64A2">
              <w:rPr>
                <w:rFonts w:asciiTheme="minorHAnsi" w:hAnsiTheme="minorHAnsi" w:cstheme="minorHAnsi"/>
                <w:lang w:val="en-GB"/>
              </w:rPr>
              <w:softHyphen/>
              <w:t>tors do not expect any change of the credit risk of the operations and thereby no change of the</w:t>
            </w:r>
            <w:r w:rsidR="001E7C76">
              <w:rPr>
                <w:rFonts w:asciiTheme="minorHAnsi" w:hAnsiTheme="minorHAnsi" w:cstheme="minorHAnsi"/>
                <w:lang w:val="en-GB"/>
              </w:rPr>
              <w:t xml:space="preserve"> underlying</w:t>
            </w:r>
            <w:r w:rsidRPr="009E64A2">
              <w:rPr>
                <w:rFonts w:asciiTheme="minorHAnsi" w:hAnsiTheme="minorHAnsi" w:cstheme="minorHAnsi"/>
                <w:lang w:val="en-GB"/>
              </w:rPr>
              <w:t xml:space="preserve"> capital requirement</w:t>
            </w:r>
            <w:r w:rsidR="001E7C76">
              <w:rPr>
                <w:rFonts w:asciiTheme="minorHAnsi" w:hAnsiTheme="minorHAnsi" w:cstheme="minorHAnsi"/>
                <w:lang w:val="en-GB"/>
              </w:rPr>
              <w:t xml:space="preserve"> for the credit risk</w:t>
            </w:r>
            <w:r w:rsidRPr="009E64A2">
              <w:rPr>
                <w:rFonts w:asciiTheme="minorHAnsi" w:hAnsiTheme="minorHAnsi" w:cstheme="minorHAnsi"/>
                <w:lang w:val="en-GB"/>
              </w:rPr>
              <w:t>.</w:t>
            </w:r>
          </w:p>
        </w:tc>
        <w:tc>
          <w:tcPr>
            <w:tcW w:w="103" w:type="pct"/>
          </w:tcPr>
          <w:p w14:paraId="551C69EE" w14:textId="77777777" w:rsidR="006257D5" w:rsidRDefault="006257D5" w:rsidP="006257D5">
            <w:pPr>
              <w:rPr>
                <w:lang w:val="en-GB"/>
              </w:rPr>
            </w:pPr>
          </w:p>
        </w:tc>
        <w:tc>
          <w:tcPr>
            <w:tcW w:w="259" w:type="pct"/>
          </w:tcPr>
          <w:p w14:paraId="3E18A5EE" w14:textId="23A0BF54" w:rsidR="006257D5" w:rsidRPr="00ED75F9" w:rsidRDefault="006257D5" w:rsidP="006257D5">
            <w:pPr>
              <w:rPr>
                <w:rFonts w:asciiTheme="minorHAnsi" w:hAnsiTheme="minorHAnsi" w:cstheme="minorHAnsi"/>
                <w:szCs w:val="22"/>
                <w:lang w:val="en-GB"/>
              </w:rPr>
            </w:pPr>
            <w:r>
              <w:t>4.1.</w:t>
            </w:r>
            <w:r w:rsidR="00F92B60">
              <w:t>4</w:t>
            </w:r>
          </w:p>
        </w:tc>
        <w:tc>
          <w:tcPr>
            <w:tcW w:w="1336" w:type="pct"/>
          </w:tcPr>
          <w:p w14:paraId="52A26677" w14:textId="45250168" w:rsidR="006257D5" w:rsidRPr="00155900" w:rsidRDefault="006257D5" w:rsidP="000442E7">
            <w:pPr>
              <w:rPr>
                <w:lang w:val="fi-FI"/>
              </w:rPr>
            </w:pPr>
            <w:r w:rsidRPr="003B1287">
              <w:rPr>
                <w:rFonts w:asciiTheme="minorHAnsi" w:hAnsiTheme="minorHAnsi" w:cstheme="minorHAnsi"/>
                <w:lang w:val="fi-FI"/>
              </w:rPr>
              <w:t xml:space="preserve">Mitä tulee Sulautumisen seurauksiin Sulautumiseen Osallistuvien Yhtiöiden velkojille, hallitukset arvioivat, että </w:t>
            </w:r>
            <w:r>
              <w:rPr>
                <w:rFonts w:asciiTheme="minorHAnsi" w:hAnsiTheme="minorHAnsi" w:cstheme="minorHAnsi"/>
                <w:lang w:val="fi-FI"/>
              </w:rPr>
              <w:t xml:space="preserve">velkojien </w:t>
            </w:r>
            <w:r w:rsidRPr="00AC40B4">
              <w:rPr>
                <w:rFonts w:asciiTheme="minorHAnsi" w:hAnsiTheme="minorHAnsi" w:cstheme="minorHAnsi"/>
                <w:lang w:val="fi-FI"/>
              </w:rPr>
              <w:t>saamiset t</w:t>
            </w:r>
            <w:r>
              <w:rPr>
                <w:rFonts w:asciiTheme="minorHAnsi" w:hAnsiTheme="minorHAnsi" w:cstheme="minorHAnsi"/>
                <w:lang w:val="fi-FI"/>
              </w:rPr>
              <w:t xml:space="preserve">ulevat riittävästi suojatuiksi ja että Sulautuminen ei vaikuta niihin, sillä </w:t>
            </w:r>
            <w:r w:rsidRPr="00AC40B4">
              <w:rPr>
                <w:rFonts w:asciiTheme="minorHAnsi" w:hAnsiTheme="minorHAnsi" w:cstheme="minorHAnsi"/>
                <w:lang w:val="fi-FI"/>
              </w:rPr>
              <w:t>Sulautuneen Yhtiön ei arvioida edustavan suurempaa luottoriskiä kuin mitä Sulautumiseen Osallistuvi</w:t>
            </w:r>
            <w:r>
              <w:rPr>
                <w:rFonts w:asciiTheme="minorHAnsi" w:hAnsiTheme="minorHAnsi" w:cstheme="minorHAnsi"/>
                <w:lang w:val="fi-FI"/>
              </w:rPr>
              <w:t>lla</w:t>
            </w:r>
            <w:r w:rsidRPr="00AC40B4">
              <w:rPr>
                <w:rFonts w:asciiTheme="minorHAnsi" w:hAnsiTheme="minorHAnsi" w:cstheme="minorHAnsi"/>
                <w:lang w:val="fi-FI"/>
              </w:rPr>
              <w:t xml:space="preserve"> Yhtiöi</w:t>
            </w:r>
            <w:r>
              <w:rPr>
                <w:rFonts w:asciiTheme="minorHAnsi" w:hAnsiTheme="minorHAnsi" w:cstheme="minorHAnsi"/>
                <w:lang w:val="fi-FI"/>
              </w:rPr>
              <w:t xml:space="preserve">llä </w:t>
            </w:r>
            <w:r>
              <w:rPr>
                <w:rFonts w:asciiTheme="minorHAnsi" w:hAnsiTheme="minorHAnsi" w:cstheme="minorHAnsi"/>
                <w:lang w:val="fi-FI"/>
              </w:rPr>
              <w:lastRenderedPageBreak/>
              <w:t>on</w:t>
            </w:r>
            <w:r w:rsidRPr="00AC40B4">
              <w:rPr>
                <w:rFonts w:asciiTheme="minorHAnsi" w:hAnsiTheme="minorHAnsi" w:cstheme="minorHAnsi"/>
                <w:lang w:val="fi-FI"/>
              </w:rPr>
              <w:t xml:space="preserve"> yhteensä</w:t>
            </w:r>
            <w:r>
              <w:rPr>
                <w:rFonts w:asciiTheme="minorHAnsi" w:hAnsiTheme="minorHAnsi" w:cstheme="minorHAnsi"/>
                <w:lang w:val="fi-FI"/>
              </w:rPr>
              <w:t xml:space="preserve">. </w:t>
            </w:r>
            <w:r w:rsidRPr="00761F85">
              <w:rPr>
                <w:rFonts w:asciiTheme="minorHAnsi" w:hAnsiTheme="minorHAnsi" w:cstheme="minorHAnsi"/>
                <w:lang w:val="fi-FI"/>
              </w:rPr>
              <w:t xml:space="preserve">Hallitukset </w:t>
            </w:r>
            <w:r w:rsidR="000442E7">
              <w:rPr>
                <w:rFonts w:asciiTheme="minorHAnsi" w:hAnsiTheme="minorHAnsi" w:cstheme="minorHAnsi"/>
                <w:lang w:val="fi-FI"/>
              </w:rPr>
              <w:t>eivät odota</w:t>
            </w:r>
            <w:r w:rsidRPr="00761F85">
              <w:rPr>
                <w:rFonts w:asciiTheme="minorHAnsi" w:hAnsiTheme="minorHAnsi" w:cstheme="minorHAnsi"/>
                <w:lang w:val="fi-FI"/>
              </w:rPr>
              <w:t xml:space="preserve"> toiminnan luottoriski</w:t>
            </w:r>
            <w:r w:rsidR="000442E7">
              <w:rPr>
                <w:rFonts w:asciiTheme="minorHAnsi" w:hAnsiTheme="minorHAnsi" w:cstheme="minorHAnsi"/>
                <w:lang w:val="fi-FI"/>
              </w:rPr>
              <w:t>en</w:t>
            </w:r>
            <w:r w:rsidRPr="00761F85">
              <w:rPr>
                <w:rFonts w:asciiTheme="minorHAnsi" w:hAnsiTheme="minorHAnsi" w:cstheme="minorHAnsi"/>
                <w:lang w:val="fi-FI"/>
              </w:rPr>
              <w:t xml:space="preserve"> muut</w:t>
            </w:r>
            <w:r w:rsidR="000442E7">
              <w:rPr>
                <w:rFonts w:asciiTheme="minorHAnsi" w:hAnsiTheme="minorHAnsi" w:cstheme="minorHAnsi"/>
                <w:lang w:val="fi-FI"/>
              </w:rPr>
              <w:t>t</w:t>
            </w:r>
            <w:r w:rsidRPr="00761F85">
              <w:rPr>
                <w:rFonts w:asciiTheme="minorHAnsi" w:hAnsiTheme="minorHAnsi" w:cstheme="minorHAnsi"/>
                <w:lang w:val="fi-FI"/>
              </w:rPr>
              <w:t>u</w:t>
            </w:r>
            <w:r w:rsidR="000442E7">
              <w:rPr>
                <w:rFonts w:asciiTheme="minorHAnsi" w:hAnsiTheme="minorHAnsi" w:cstheme="minorHAnsi"/>
                <w:lang w:val="fi-FI"/>
              </w:rPr>
              <w:t>van</w:t>
            </w:r>
            <w:r w:rsidRPr="00761F85">
              <w:rPr>
                <w:rFonts w:asciiTheme="minorHAnsi" w:hAnsiTheme="minorHAnsi" w:cstheme="minorHAnsi"/>
                <w:lang w:val="fi-FI"/>
              </w:rPr>
              <w:t xml:space="preserve"> mitenkään, </w:t>
            </w:r>
            <w:r w:rsidR="00B74FEF">
              <w:rPr>
                <w:rFonts w:asciiTheme="minorHAnsi" w:hAnsiTheme="minorHAnsi" w:cstheme="minorHAnsi"/>
                <w:lang w:val="fi-FI"/>
              </w:rPr>
              <w:t>ja näin ollen myöskään luottoriskeihin perustuvat pääomavaatimukset eivät siten muuttuisi.</w:t>
            </w:r>
            <w:r>
              <w:rPr>
                <w:rFonts w:asciiTheme="minorHAnsi" w:hAnsiTheme="minorHAnsi" w:cstheme="minorHAnsi"/>
                <w:lang w:val="fi-FI"/>
              </w:rPr>
              <w:t xml:space="preserve"> </w:t>
            </w:r>
          </w:p>
        </w:tc>
      </w:tr>
      <w:tr w:rsidR="00D56D80" w:rsidRPr="00D56D80" w14:paraId="58EAF767" w14:textId="77777777" w:rsidTr="00317950">
        <w:tc>
          <w:tcPr>
            <w:tcW w:w="258" w:type="pct"/>
          </w:tcPr>
          <w:p w14:paraId="62F998FA" w14:textId="1F38B92F"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lastRenderedPageBreak/>
              <w:t>4.1.</w:t>
            </w:r>
            <w:r w:rsidR="00F92B60">
              <w:rPr>
                <w:rFonts w:asciiTheme="minorHAnsi" w:hAnsiTheme="minorHAnsi" w:cstheme="minorHAnsi"/>
                <w:szCs w:val="22"/>
                <w:lang w:val="en-GB"/>
              </w:rPr>
              <w:t>5</w:t>
            </w:r>
          </w:p>
        </w:tc>
        <w:tc>
          <w:tcPr>
            <w:tcW w:w="1341" w:type="pct"/>
          </w:tcPr>
          <w:p w14:paraId="1C6EA5F5" w14:textId="2EB17A53" w:rsidR="006257D5" w:rsidRDefault="006257D5" w:rsidP="006257D5">
            <w:pPr>
              <w:rPr>
                <w:rFonts w:asciiTheme="majorHAnsi" w:hAnsiTheme="majorHAnsi" w:cstheme="majorHAnsi"/>
                <w:sz w:val="20"/>
              </w:rPr>
            </w:pPr>
            <w:r w:rsidRPr="009E64A2">
              <w:rPr>
                <w:rFonts w:asciiTheme="minorHAnsi" w:hAnsiTheme="minorHAnsi" w:cstheme="minorHAnsi"/>
                <w:szCs w:val="22"/>
              </w:rPr>
              <w:t>Vid verkställandet av Fusionen kommer det Överlåtande Bolagets tillgångar och skulder att övertas av det Övertagande Bolaget utan likvidation.</w:t>
            </w:r>
          </w:p>
        </w:tc>
        <w:tc>
          <w:tcPr>
            <w:tcW w:w="103" w:type="pct"/>
          </w:tcPr>
          <w:p w14:paraId="5BE17A80" w14:textId="77777777" w:rsidR="006257D5" w:rsidRDefault="006257D5" w:rsidP="006257D5">
            <w:pPr>
              <w:jc w:val="right"/>
            </w:pPr>
          </w:p>
        </w:tc>
        <w:tc>
          <w:tcPr>
            <w:tcW w:w="258" w:type="pct"/>
          </w:tcPr>
          <w:p w14:paraId="742559D0" w14:textId="72EF89AF" w:rsidR="006257D5" w:rsidRDefault="006257D5" w:rsidP="006257D5">
            <w:r>
              <w:t>4.1.</w:t>
            </w:r>
            <w:r w:rsidR="00F92B60">
              <w:t>5</w:t>
            </w:r>
          </w:p>
        </w:tc>
        <w:tc>
          <w:tcPr>
            <w:tcW w:w="1342" w:type="pct"/>
          </w:tcPr>
          <w:p w14:paraId="57F36E2E" w14:textId="77777777" w:rsidR="006257D5" w:rsidRDefault="006257D5" w:rsidP="006257D5">
            <w:pPr>
              <w:rPr>
                <w:lang w:val="en-GB"/>
              </w:rPr>
            </w:pPr>
            <w:r w:rsidRPr="009E64A2">
              <w:rPr>
                <w:lang w:val="en-US"/>
              </w:rPr>
              <w:t>Upon the execution of the Merger, the assets and liabilities of the Transferor Company will be transferred to the Transferee Company without liquidation.</w:t>
            </w:r>
          </w:p>
        </w:tc>
        <w:tc>
          <w:tcPr>
            <w:tcW w:w="103" w:type="pct"/>
          </w:tcPr>
          <w:p w14:paraId="30D6D106" w14:textId="77777777" w:rsidR="006257D5" w:rsidRDefault="006257D5" w:rsidP="006257D5">
            <w:pPr>
              <w:rPr>
                <w:lang w:val="en-GB"/>
              </w:rPr>
            </w:pPr>
          </w:p>
        </w:tc>
        <w:tc>
          <w:tcPr>
            <w:tcW w:w="259" w:type="pct"/>
          </w:tcPr>
          <w:p w14:paraId="3C1DA5C0" w14:textId="205823C3" w:rsidR="006257D5" w:rsidRPr="00ED75F9" w:rsidRDefault="006257D5" w:rsidP="006257D5">
            <w:pPr>
              <w:rPr>
                <w:rFonts w:asciiTheme="minorHAnsi" w:hAnsiTheme="minorHAnsi" w:cstheme="minorHAnsi"/>
                <w:szCs w:val="22"/>
                <w:lang w:val="en-GB"/>
              </w:rPr>
            </w:pPr>
            <w:r>
              <w:t>4.1.</w:t>
            </w:r>
            <w:r w:rsidR="00F92B60">
              <w:t>5</w:t>
            </w:r>
          </w:p>
        </w:tc>
        <w:tc>
          <w:tcPr>
            <w:tcW w:w="1336" w:type="pct"/>
          </w:tcPr>
          <w:p w14:paraId="586C9708" w14:textId="77777777" w:rsidR="006257D5" w:rsidRPr="008B6CB2" w:rsidRDefault="006257D5" w:rsidP="006257D5">
            <w:pPr>
              <w:rPr>
                <w:lang w:val="fi-FI"/>
              </w:rPr>
            </w:pPr>
            <w:r w:rsidRPr="008B6CB2">
              <w:rPr>
                <w:lang w:val="fi-FI"/>
              </w:rPr>
              <w:t xml:space="preserve">Sulautumisen </w:t>
            </w:r>
            <w:r w:rsidRPr="00761F85">
              <w:rPr>
                <w:lang w:val="fi-FI"/>
              </w:rPr>
              <w:t>täytäntöönpanon myötä Sulautuvan</w:t>
            </w:r>
            <w:r w:rsidRPr="008B6CB2">
              <w:rPr>
                <w:lang w:val="fi-FI"/>
              </w:rPr>
              <w:t xml:space="preserve"> Yhtiön varat ja velat siirtyvät Vastaanottavalle Yhtiölle selvitysmenettelyttä.</w:t>
            </w:r>
          </w:p>
        </w:tc>
      </w:tr>
      <w:tr w:rsidR="00D56D80" w:rsidRPr="00D56D80" w14:paraId="2E801B36" w14:textId="77777777" w:rsidTr="00317950">
        <w:tc>
          <w:tcPr>
            <w:tcW w:w="258" w:type="pct"/>
          </w:tcPr>
          <w:p w14:paraId="7ABA87CB" w14:textId="16C2E280"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t>4.1.</w:t>
            </w:r>
            <w:r w:rsidR="00F92B60">
              <w:rPr>
                <w:rFonts w:asciiTheme="minorHAnsi" w:hAnsiTheme="minorHAnsi" w:cstheme="minorHAnsi"/>
                <w:szCs w:val="22"/>
                <w:lang w:val="en-GB"/>
              </w:rPr>
              <w:t>6</w:t>
            </w:r>
          </w:p>
        </w:tc>
        <w:tc>
          <w:tcPr>
            <w:tcW w:w="1341" w:type="pct"/>
          </w:tcPr>
          <w:p w14:paraId="60F87A18" w14:textId="7E792D2D" w:rsidR="006257D5" w:rsidRDefault="006257D5" w:rsidP="0061624B">
            <w:pPr>
              <w:rPr>
                <w:rFonts w:asciiTheme="majorHAnsi" w:hAnsiTheme="majorHAnsi" w:cstheme="majorHAnsi"/>
                <w:sz w:val="20"/>
              </w:rPr>
            </w:pPr>
            <w:r w:rsidRPr="009E64A2">
              <w:rPr>
                <w:rFonts w:asciiTheme="minorHAnsi" w:hAnsiTheme="minorHAnsi" w:cstheme="minorHAnsi"/>
                <w:szCs w:val="22"/>
              </w:rPr>
              <w:t xml:space="preserve">Efter Fusionen kommer det </w:t>
            </w:r>
            <w:r w:rsidR="0061624B">
              <w:rPr>
                <w:rFonts w:asciiTheme="minorHAnsi" w:hAnsiTheme="minorHAnsi" w:cstheme="minorHAnsi"/>
                <w:szCs w:val="22"/>
              </w:rPr>
              <w:t>Fusionerade</w:t>
            </w:r>
            <w:r w:rsidR="0061624B" w:rsidRPr="009E64A2">
              <w:rPr>
                <w:rFonts w:asciiTheme="minorHAnsi" w:hAnsiTheme="minorHAnsi" w:cstheme="minorHAnsi"/>
                <w:szCs w:val="22"/>
              </w:rPr>
              <w:t xml:space="preserve"> </w:t>
            </w:r>
            <w:r w:rsidRPr="009E64A2">
              <w:rPr>
                <w:rFonts w:asciiTheme="minorHAnsi" w:hAnsiTheme="minorHAnsi" w:cstheme="minorHAnsi"/>
                <w:szCs w:val="22"/>
              </w:rPr>
              <w:t>Bolaget att ansvara för det Överlåtande Bolagets samtliga skulder</w:t>
            </w:r>
            <w:r>
              <w:rPr>
                <w:rFonts w:asciiTheme="minorHAnsi" w:hAnsiTheme="minorHAnsi" w:cstheme="minorHAnsi"/>
                <w:szCs w:val="22"/>
              </w:rPr>
              <w:t>.</w:t>
            </w:r>
          </w:p>
        </w:tc>
        <w:tc>
          <w:tcPr>
            <w:tcW w:w="103" w:type="pct"/>
          </w:tcPr>
          <w:p w14:paraId="3770D498" w14:textId="77777777" w:rsidR="006257D5" w:rsidRDefault="006257D5" w:rsidP="006257D5">
            <w:pPr>
              <w:jc w:val="right"/>
            </w:pPr>
          </w:p>
        </w:tc>
        <w:tc>
          <w:tcPr>
            <w:tcW w:w="258" w:type="pct"/>
          </w:tcPr>
          <w:p w14:paraId="7E9897F1" w14:textId="30DC68DB" w:rsidR="006257D5" w:rsidRDefault="006257D5" w:rsidP="006257D5">
            <w:r>
              <w:t>4.1.</w:t>
            </w:r>
            <w:r w:rsidR="00F92B60">
              <w:t>6</w:t>
            </w:r>
          </w:p>
        </w:tc>
        <w:tc>
          <w:tcPr>
            <w:tcW w:w="1342" w:type="pct"/>
          </w:tcPr>
          <w:p w14:paraId="3F09F8C1" w14:textId="56C75B35" w:rsidR="006257D5" w:rsidRDefault="006257D5" w:rsidP="0061624B">
            <w:pPr>
              <w:rPr>
                <w:lang w:val="en-GB"/>
              </w:rPr>
            </w:pPr>
            <w:r w:rsidRPr="009E64A2">
              <w:rPr>
                <w:lang w:val="en-GB"/>
              </w:rPr>
              <w:t xml:space="preserve">After the Merger, the </w:t>
            </w:r>
            <w:r w:rsidR="0061624B">
              <w:rPr>
                <w:lang w:val="en-GB"/>
              </w:rPr>
              <w:t>Merged</w:t>
            </w:r>
            <w:r w:rsidR="0061624B" w:rsidRPr="009E64A2">
              <w:rPr>
                <w:lang w:val="en-GB"/>
              </w:rPr>
              <w:t xml:space="preserve"> </w:t>
            </w:r>
            <w:r w:rsidRPr="009E64A2">
              <w:rPr>
                <w:lang w:val="en-GB"/>
              </w:rPr>
              <w:t xml:space="preserve">Company </w:t>
            </w:r>
            <w:r w:rsidR="001E6419">
              <w:rPr>
                <w:lang w:val="en-GB"/>
              </w:rPr>
              <w:t>will be liable for all the liabilities</w:t>
            </w:r>
            <w:r w:rsidRPr="009E64A2">
              <w:rPr>
                <w:lang w:val="en-GB"/>
              </w:rPr>
              <w:t xml:space="preserve"> of the Transferor Company.</w:t>
            </w:r>
          </w:p>
        </w:tc>
        <w:tc>
          <w:tcPr>
            <w:tcW w:w="103" w:type="pct"/>
          </w:tcPr>
          <w:p w14:paraId="7C98D5DB" w14:textId="77777777" w:rsidR="006257D5" w:rsidRDefault="006257D5" w:rsidP="006257D5">
            <w:pPr>
              <w:rPr>
                <w:lang w:val="en-GB"/>
              </w:rPr>
            </w:pPr>
          </w:p>
        </w:tc>
        <w:tc>
          <w:tcPr>
            <w:tcW w:w="259" w:type="pct"/>
          </w:tcPr>
          <w:p w14:paraId="0E513948" w14:textId="1918E318" w:rsidR="006257D5" w:rsidRPr="00ED75F9" w:rsidRDefault="006257D5" w:rsidP="006257D5">
            <w:pPr>
              <w:rPr>
                <w:rFonts w:asciiTheme="minorHAnsi" w:hAnsiTheme="minorHAnsi" w:cstheme="minorHAnsi"/>
                <w:szCs w:val="22"/>
                <w:lang w:val="en-GB"/>
              </w:rPr>
            </w:pPr>
            <w:r>
              <w:t>4.1.</w:t>
            </w:r>
            <w:r w:rsidR="00F92B60">
              <w:t>6</w:t>
            </w:r>
          </w:p>
        </w:tc>
        <w:tc>
          <w:tcPr>
            <w:tcW w:w="1336" w:type="pct"/>
          </w:tcPr>
          <w:p w14:paraId="5D0F4969" w14:textId="780F0F1F" w:rsidR="006257D5" w:rsidRPr="00270B9A" w:rsidRDefault="006257D5" w:rsidP="00AE6D6C">
            <w:pPr>
              <w:rPr>
                <w:lang w:val="fi-FI"/>
              </w:rPr>
            </w:pPr>
            <w:r w:rsidRPr="004154BC">
              <w:rPr>
                <w:lang w:val="fi-FI"/>
              </w:rPr>
              <w:t xml:space="preserve">Sulautumisen jälkeen </w:t>
            </w:r>
            <w:r w:rsidR="00CB5DEA">
              <w:rPr>
                <w:lang w:val="fi-FI"/>
              </w:rPr>
              <w:t xml:space="preserve">Sulautunut </w:t>
            </w:r>
            <w:r w:rsidRPr="004154BC">
              <w:rPr>
                <w:lang w:val="fi-FI"/>
              </w:rPr>
              <w:t xml:space="preserve">Yhtiö vastaa Sulautuvan </w:t>
            </w:r>
            <w:r>
              <w:rPr>
                <w:lang w:val="fi-FI"/>
              </w:rPr>
              <w:t>Yhtiön kaikista veloista.</w:t>
            </w:r>
          </w:p>
        </w:tc>
      </w:tr>
      <w:tr w:rsidR="00D56D80" w:rsidRPr="0018039A" w14:paraId="6D5A35E2" w14:textId="77777777" w:rsidTr="00317950">
        <w:tc>
          <w:tcPr>
            <w:tcW w:w="258" w:type="pct"/>
          </w:tcPr>
          <w:p w14:paraId="03A0A6D6" w14:textId="77777777" w:rsidR="006257D5" w:rsidRPr="0018039A" w:rsidRDefault="006257D5" w:rsidP="004364FB">
            <w:pPr>
              <w:keepNext/>
              <w:spacing w:after="60"/>
              <w:rPr>
                <w:rFonts w:asciiTheme="minorHAnsi" w:hAnsiTheme="minorHAnsi" w:cstheme="minorHAnsi"/>
                <w:b/>
                <w:sz w:val="20"/>
                <w:lang w:val="en-GB"/>
              </w:rPr>
            </w:pPr>
            <w:r w:rsidRPr="0018039A">
              <w:rPr>
                <w:rFonts w:asciiTheme="majorHAnsi" w:hAnsiTheme="majorHAnsi" w:cstheme="majorHAnsi"/>
                <w:b/>
                <w:sz w:val="20"/>
              </w:rPr>
              <w:t>4.</w:t>
            </w:r>
            <w:r>
              <w:rPr>
                <w:rFonts w:asciiTheme="majorHAnsi" w:hAnsiTheme="majorHAnsi" w:cstheme="majorHAnsi"/>
                <w:b/>
                <w:sz w:val="20"/>
              </w:rPr>
              <w:t>2</w:t>
            </w:r>
          </w:p>
        </w:tc>
        <w:tc>
          <w:tcPr>
            <w:tcW w:w="1341" w:type="pct"/>
          </w:tcPr>
          <w:p w14:paraId="452D0668" w14:textId="77777777" w:rsidR="006257D5" w:rsidRPr="0018039A" w:rsidRDefault="006257D5" w:rsidP="004364FB">
            <w:pPr>
              <w:keepNext/>
              <w:spacing w:after="60"/>
              <w:rPr>
                <w:sz w:val="20"/>
              </w:rPr>
            </w:pPr>
            <w:r w:rsidRPr="0018039A">
              <w:rPr>
                <w:rFonts w:asciiTheme="majorHAnsi" w:hAnsiTheme="majorHAnsi" w:cstheme="majorHAnsi"/>
                <w:b/>
                <w:sz w:val="20"/>
              </w:rPr>
              <w:t>Anställda</w:t>
            </w:r>
          </w:p>
        </w:tc>
        <w:tc>
          <w:tcPr>
            <w:tcW w:w="103" w:type="pct"/>
          </w:tcPr>
          <w:p w14:paraId="6B5B9321" w14:textId="77777777" w:rsidR="006257D5" w:rsidRPr="0018039A" w:rsidRDefault="006257D5" w:rsidP="004364FB">
            <w:pPr>
              <w:keepNext/>
              <w:spacing w:after="60"/>
              <w:jc w:val="right"/>
              <w:rPr>
                <w:sz w:val="20"/>
                <w:lang w:val="en-GB"/>
              </w:rPr>
            </w:pPr>
          </w:p>
        </w:tc>
        <w:tc>
          <w:tcPr>
            <w:tcW w:w="258" w:type="pct"/>
          </w:tcPr>
          <w:p w14:paraId="3328408A" w14:textId="77777777" w:rsidR="006257D5" w:rsidRPr="0018039A" w:rsidRDefault="006257D5" w:rsidP="004364FB">
            <w:pPr>
              <w:keepNext/>
              <w:spacing w:after="60"/>
              <w:rPr>
                <w:sz w:val="20"/>
                <w:lang w:val="en-GB"/>
              </w:rPr>
            </w:pPr>
            <w:r w:rsidRPr="0018039A">
              <w:rPr>
                <w:rFonts w:asciiTheme="majorHAnsi" w:hAnsiTheme="majorHAnsi" w:cstheme="majorHAnsi"/>
                <w:b/>
                <w:sz w:val="20"/>
              </w:rPr>
              <w:t>4.</w:t>
            </w:r>
            <w:r>
              <w:rPr>
                <w:rFonts w:asciiTheme="majorHAnsi" w:hAnsiTheme="majorHAnsi" w:cstheme="majorHAnsi"/>
                <w:b/>
                <w:sz w:val="20"/>
              </w:rPr>
              <w:t>2</w:t>
            </w:r>
          </w:p>
        </w:tc>
        <w:tc>
          <w:tcPr>
            <w:tcW w:w="1342" w:type="pct"/>
          </w:tcPr>
          <w:p w14:paraId="2A40C92C" w14:textId="77777777" w:rsidR="006257D5" w:rsidRPr="0018039A" w:rsidRDefault="006257D5" w:rsidP="004364FB">
            <w:pPr>
              <w:pStyle w:val="Listanumrerad"/>
              <w:keepNext/>
              <w:numPr>
                <w:ilvl w:val="0"/>
                <w:numId w:val="0"/>
              </w:numPr>
              <w:spacing w:after="60"/>
              <w:rPr>
                <w:sz w:val="20"/>
                <w:lang w:val="en-GB"/>
              </w:rPr>
            </w:pPr>
            <w:r w:rsidRPr="0018039A">
              <w:rPr>
                <w:rFonts w:asciiTheme="majorHAnsi" w:hAnsiTheme="majorHAnsi" w:cstheme="majorHAnsi"/>
                <w:b/>
                <w:sz w:val="20"/>
                <w:lang w:val="en-GB"/>
              </w:rPr>
              <w:t>Employees</w:t>
            </w:r>
          </w:p>
        </w:tc>
        <w:tc>
          <w:tcPr>
            <w:tcW w:w="103" w:type="pct"/>
          </w:tcPr>
          <w:p w14:paraId="12726B10" w14:textId="77777777" w:rsidR="006257D5" w:rsidRPr="0018039A" w:rsidRDefault="006257D5" w:rsidP="004364FB">
            <w:pPr>
              <w:pStyle w:val="Listanumrerad"/>
              <w:keepNext/>
              <w:numPr>
                <w:ilvl w:val="0"/>
                <w:numId w:val="0"/>
              </w:numPr>
              <w:spacing w:after="60"/>
              <w:rPr>
                <w:rFonts w:asciiTheme="majorHAnsi" w:hAnsiTheme="majorHAnsi" w:cstheme="majorHAnsi"/>
                <w:b/>
                <w:sz w:val="20"/>
                <w:lang w:val="en-GB"/>
              </w:rPr>
            </w:pPr>
          </w:p>
        </w:tc>
        <w:tc>
          <w:tcPr>
            <w:tcW w:w="259" w:type="pct"/>
          </w:tcPr>
          <w:p w14:paraId="4A8202A1" w14:textId="77777777" w:rsidR="006257D5" w:rsidRPr="0018039A" w:rsidRDefault="006257D5" w:rsidP="004364FB">
            <w:pPr>
              <w:pStyle w:val="Listanumrerad"/>
              <w:keepNext/>
              <w:numPr>
                <w:ilvl w:val="0"/>
                <w:numId w:val="0"/>
              </w:numPr>
              <w:spacing w:after="60"/>
              <w:rPr>
                <w:rFonts w:asciiTheme="minorHAnsi" w:hAnsiTheme="minorHAnsi" w:cstheme="minorHAnsi"/>
                <w:b/>
                <w:sz w:val="20"/>
                <w:lang w:val="en-GB"/>
              </w:rPr>
            </w:pPr>
            <w:r w:rsidRPr="0018039A">
              <w:rPr>
                <w:rFonts w:asciiTheme="majorHAnsi" w:hAnsiTheme="majorHAnsi" w:cstheme="majorHAnsi"/>
                <w:b/>
                <w:sz w:val="20"/>
              </w:rPr>
              <w:t>4.</w:t>
            </w:r>
            <w:r>
              <w:rPr>
                <w:rFonts w:asciiTheme="majorHAnsi" w:hAnsiTheme="majorHAnsi" w:cstheme="majorHAnsi"/>
                <w:b/>
                <w:sz w:val="20"/>
              </w:rPr>
              <w:t>2</w:t>
            </w:r>
          </w:p>
        </w:tc>
        <w:tc>
          <w:tcPr>
            <w:tcW w:w="1336" w:type="pct"/>
          </w:tcPr>
          <w:p w14:paraId="78ABAEB4" w14:textId="77777777" w:rsidR="006257D5" w:rsidRPr="0018039A" w:rsidRDefault="006257D5" w:rsidP="004364FB">
            <w:pPr>
              <w:pStyle w:val="Listanumrerad"/>
              <w:keepNext/>
              <w:numPr>
                <w:ilvl w:val="0"/>
                <w:numId w:val="0"/>
              </w:numPr>
              <w:spacing w:after="60"/>
              <w:rPr>
                <w:rFonts w:asciiTheme="majorHAnsi" w:hAnsiTheme="majorHAnsi" w:cstheme="majorHAnsi"/>
                <w:b/>
                <w:sz w:val="20"/>
                <w:lang w:val="en-GB"/>
              </w:rPr>
            </w:pPr>
            <w:r>
              <w:rPr>
                <w:rFonts w:asciiTheme="majorHAnsi" w:hAnsiTheme="majorHAnsi" w:cstheme="majorHAnsi"/>
                <w:b/>
                <w:sz w:val="20"/>
                <w:lang w:val="en-GB"/>
              </w:rPr>
              <w:t>Työntekijät</w:t>
            </w:r>
          </w:p>
        </w:tc>
      </w:tr>
      <w:tr w:rsidR="00D56D80" w:rsidRPr="00D56D80" w14:paraId="6D4A025C" w14:textId="77777777" w:rsidTr="00317950">
        <w:tc>
          <w:tcPr>
            <w:tcW w:w="258" w:type="pct"/>
          </w:tcPr>
          <w:p w14:paraId="38D2211A" w14:textId="77777777"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t>4.2.1</w:t>
            </w:r>
          </w:p>
        </w:tc>
        <w:tc>
          <w:tcPr>
            <w:tcW w:w="1341" w:type="pct"/>
          </w:tcPr>
          <w:p w14:paraId="704CC1FA" w14:textId="46797D13" w:rsidR="006257D5" w:rsidRPr="006F1FCA" w:rsidRDefault="002B5CF4" w:rsidP="003049C4">
            <w:pPr>
              <w:rPr>
                <w:rFonts w:asciiTheme="minorHAnsi" w:hAnsiTheme="minorHAnsi" w:cstheme="minorHAnsi"/>
                <w:szCs w:val="22"/>
              </w:rPr>
            </w:pPr>
            <w:r>
              <w:rPr>
                <w:rFonts w:asciiTheme="minorHAnsi" w:hAnsiTheme="minorHAnsi" w:cstheme="minorHAnsi"/>
                <w:szCs w:val="22"/>
              </w:rPr>
              <w:t xml:space="preserve">Från och med det datum Fusionen </w:t>
            </w:r>
            <w:r w:rsidR="00B42B9A">
              <w:rPr>
                <w:rFonts w:asciiTheme="minorHAnsi" w:hAnsiTheme="minorHAnsi" w:cstheme="minorHAnsi"/>
                <w:szCs w:val="22"/>
              </w:rPr>
              <w:t>registrerats i det finska handels</w:t>
            </w:r>
            <w:r w:rsidR="000C5A9A">
              <w:rPr>
                <w:rFonts w:asciiTheme="minorHAnsi" w:hAnsiTheme="minorHAnsi" w:cstheme="minorHAnsi"/>
                <w:szCs w:val="22"/>
              </w:rPr>
              <w:softHyphen/>
            </w:r>
            <w:r w:rsidR="00B42B9A">
              <w:rPr>
                <w:rFonts w:asciiTheme="minorHAnsi" w:hAnsiTheme="minorHAnsi" w:cstheme="minorHAnsi"/>
                <w:szCs w:val="22"/>
              </w:rPr>
              <w:t xml:space="preserve">registret </w:t>
            </w:r>
            <w:r w:rsidR="001C137C">
              <w:rPr>
                <w:rFonts w:asciiTheme="minorHAnsi" w:hAnsiTheme="minorHAnsi" w:cstheme="minorHAnsi"/>
                <w:szCs w:val="22"/>
              </w:rPr>
              <w:t xml:space="preserve">kommer det Överlåtande Bolagets </w:t>
            </w:r>
            <w:r w:rsidR="00DF5280">
              <w:rPr>
                <w:rFonts w:asciiTheme="minorHAnsi" w:hAnsiTheme="minorHAnsi" w:cstheme="minorHAnsi"/>
                <w:szCs w:val="22"/>
              </w:rPr>
              <w:t xml:space="preserve">arbetstagare att vara </w:t>
            </w:r>
            <w:r w:rsidR="006257D5" w:rsidRPr="009E64A2">
              <w:rPr>
                <w:rFonts w:asciiTheme="minorHAnsi" w:hAnsiTheme="minorHAnsi" w:cstheme="minorHAnsi"/>
                <w:szCs w:val="22"/>
              </w:rPr>
              <w:t xml:space="preserve">anställda av det </w:t>
            </w:r>
            <w:r w:rsidR="003049C4">
              <w:rPr>
                <w:rFonts w:asciiTheme="minorHAnsi" w:hAnsiTheme="minorHAnsi" w:cstheme="minorHAnsi"/>
                <w:szCs w:val="22"/>
              </w:rPr>
              <w:t xml:space="preserve">Fusionerade </w:t>
            </w:r>
            <w:r w:rsidR="006257D5">
              <w:rPr>
                <w:rFonts w:asciiTheme="minorHAnsi" w:hAnsiTheme="minorHAnsi" w:cstheme="minorHAnsi"/>
                <w:szCs w:val="22"/>
              </w:rPr>
              <w:t xml:space="preserve">Bolaget </w:t>
            </w:r>
            <w:r w:rsidR="004B73EF">
              <w:rPr>
                <w:rFonts w:asciiTheme="minorHAnsi" w:hAnsiTheme="minorHAnsi" w:cstheme="minorHAnsi"/>
                <w:szCs w:val="22"/>
              </w:rPr>
              <w:t xml:space="preserve">antingen direkt eller </w:t>
            </w:r>
            <w:r w:rsidR="006257D5">
              <w:rPr>
                <w:rFonts w:asciiTheme="minorHAnsi" w:hAnsiTheme="minorHAnsi" w:cstheme="minorHAnsi"/>
                <w:szCs w:val="22"/>
              </w:rPr>
              <w:t>genom Filial</w:t>
            </w:r>
            <w:r w:rsidR="000C5A9A">
              <w:rPr>
                <w:rFonts w:asciiTheme="minorHAnsi" w:hAnsiTheme="minorHAnsi" w:cstheme="minorHAnsi"/>
                <w:szCs w:val="22"/>
              </w:rPr>
              <w:softHyphen/>
            </w:r>
            <w:r w:rsidR="006257D5">
              <w:rPr>
                <w:rFonts w:asciiTheme="minorHAnsi" w:hAnsiTheme="minorHAnsi" w:cstheme="minorHAnsi"/>
                <w:szCs w:val="22"/>
              </w:rPr>
              <w:t>erna</w:t>
            </w:r>
            <w:r w:rsidR="006257D5" w:rsidRPr="009E64A2">
              <w:rPr>
                <w:rFonts w:asciiTheme="minorHAnsi" w:hAnsiTheme="minorHAnsi" w:cstheme="minorHAnsi"/>
                <w:szCs w:val="22"/>
              </w:rPr>
              <w:t xml:space="preserve">. </w:t>
            </w:r>
            <w:r w:rsidR="00981B40">
              <w:rPr>
                <w:rFonts w:asciiTheme="minorHAnsi" w:hAnsiTheme="minorHAnsi" w:cstheme="minorHAnsi"/>
                <w:szCs w:val="22"/>
              </w:rPr>
              <w:t xml:space="preserve">Från och med samma datum kommer </w:t>
            </w:r>
            <w:r w:rsidR="00A52A61">
              <w:rPr>
                <w:rFonts w:asciiTheme="minorHAnsi" w:hAnsiTheme="minorHAnsi" w:cstheme="minorHAnsi"/>
                <w:szCs w:val="22"/>
              </w:rPr>
              <w:t xml:space="preserve">även det Överlåtande Bolagets rättigheter och skyldigheter </w:t>
            </w:r>
            <w:r w:rsidR="00275428">
              <w:rPr>
                <w:rFonts w:asciiTheme="minorHAnsi" w:hAnsiTheme="minorHAnsi" w:cstheme="minorHAnsi"/>
                <w:szCs w:val="22"/>
              </w:rPr>
              <w:t xml:space="preserve">med anledning av </w:t>
            </w:r>
            <w:r w:rsidR="00FC4525">
              <w:rPr>
                <w:rFonts w:asciiTheme="minorHAnsi" w:hAnsiTheme="minorHAnsi" w:cstheme="minorHAnsi"/>
                <w:szCs w:val="22"/>
              </w:rPr>
              <w:t>anställningsavtal och anställnings</w:t>
            </w:r>
            <w:r w:rsidR="00317950">
              <w:rPr>
                <w:rFonts w:asciiTheme="minorHAnsi" w:hAnsiTheme="minorHAnsi" w:cstheme="minorHAnsi"/>
                <w:szCs w:val="22"/>
              </w:rPr>
              <w:softHyphen/>
            </w:r>
            <w:r w:rsidR="00FC4525">
              <w:rPr>
                <w:rFonts w:asciiTheme="minorHAnsi" w:hAnsiTheme="minorHAnsi" w:cstheme="minorHAnsi"/>
                <w:szCs w:val="22"/>
              </w:rPr>
              <w:lastRenderedPageBreak/>
              <w:t xml:space="preserve">förhållanden som </w:t>
            </w:r>
            <w:r w:rsidR="000F0DFE">
              <w:rPr>
                <w:rFonts w:asciiTheme="minorHAnsi" w:hAnsiTheme="minorHAnsi" w:cstheme="minorHAnsi"/>
                <w:szCs w:val="22"/>
              </w:rPr>
              <w:t>för</w:t>
            </w:r>
            <w:r w:rsidR="00360C3F">
              <w:rPr>
                <w:rFonts w:asciiTheme="minorHAnsi" w:hAnsiTheme="minorHAnsi" w:cstheme="minorHAnsi"/>
                <w:szCs w:val="22"/>
              </w:rPr>
              <w:t>e</w:t>
            </w:r>
            <w:r w:rsidR="000F0DFE">
              <w:rPr>
                <w:rFonts w:asciiTheme="minorHAnsi" w:hAnsiTheme="minorHAnsi" w:cstheme="minorHAnsi"/>
                <w:szCs w:val="22"/>
              </w:rPr>
              <w:t xml:space="preserve">ligger vid tidpunkten för </w:t>
            </w:r>
            <w:r w:rsidR="000F7AD3">
              <w:rPr>
                <w:rFonts w:asciiTheme="minorHAnsi" w:hAnsiTheme="minorHAnsi" w:cstheme="minorHAnsi"/>
                <w:szCs w:val="22"/>
              </w:rPr>
              <w:t>Fusionens ikraft</w:t>
            </w:r>
            <w:r w:rsidR="00317950">
              <w:rPr>
                <w:rFonts w:asciiTheme="minorHAnsi" w:hAnsiTheme="minorHAnsi" w:cstheme="minorHAnsi"/>
                <w:szCs w:val="22"/>
              </w:rPr>
              <w:softHyphen/>
            </w:r>
            <w:r w:rsidR="000F7AD3">
              <w:rPr>
                <w:rFonts w:asciiTheme="minorHAnsi" w:hAnsiTheme="minorHAnsi" w:cstheme="minorHAnsi"/>
                <w:szCs w:val="22"/>
              </w:rPr>
              <w:t xml:space="preserve">trädande att överföras till det </w:t>
            </w:r>
            <w:r w:rsidR="003049C4">
              <w:rPr>
                <w:rFonts w:asciiTheme="minorHAnsi" w:hAnsiTheme="minorHAnsi" w:cstheme="minorHAnsi"/>
                <w:szCs w:val="22"/>
              </w:rPr>
              <w:t xml:space="preserve">Fusionerade </w:t>
            </w:r>
            <w:r w:rsidR="000F7AD3">
              <w:rPr>
                <w:rFonts w:asciiTheme="minorHAnsi" w:hAnsiTheme="minorHAnsi" w:cstheme="minorHAnsi"/>
                <w:szCs w:val="22"/>
              </w:rPr>
              <w:t xml:space="preserve">Bolaget. </w:t>
            </w:r>
            <w:r w:rsidR="006257D5" w:rsidRPr="009E64A2">
              <w:rPr>
                <w:rFonts w:asciiTheme="minorHAnsi" w:hAnsiTheme="minorHAnsi" w:cstheme="minorHAnsi"/>
                <w:szCs w:val="22"/>
              </w:rPr>
              <w:t>Detta kommer i allt väsent</w:t>
            </w:r>
            <w:r w:rsidR="000C5A9A">
              <w:rPr>
                <w:rFonts w:asciiTheme="minorHAnsi" w:hAnsiTheme="minorHAnsi" w:cstheme="minorHAnsi"/>
                <w:szCs w:val="22"/>
              </w:rPr>
              <w:softHyphen/>
            </w:r>
            <w:r w:rsidR="006257D5" w:rsidRPr="009E64A2">
              <w:rPr>
                <w:rFonts w:asciiTheme="minorHAnsi" w:hAnsiTheme="minorHAnsi" w:cstheme="minorHAnsi"/>
                <w:szCs w:val="22"/>
              </w:rPr>
              <w:t>ligt inte att påverka anställ</w:t>
            </w:r>
            <w:r w:rsidR="006257D5" w:rsidRPr="009E64A2">
              <w:rPr>
                <w:rFonts w:asciiTheme="minorHAnsi" w:hAnsiTheme="minorHAnsi" w:cstheme="minorHAnsi"/>
                <w:szCs w:val="22"/>
              </w:rPr>
              <w:softHyphen/>
              <w:t>nings</w:t>
            </w:r>
            <w:r w:rsidR="000C5A9A">
              <w:rPr>
                <w:rFonts w:asciiTheme="minorHAnsi" w:hAnsiTheme="minorHAnsi" w:cstheme="minorHAnsi"/>
                <w:szCs w:val="22"/>
              </w:rPr>
              <w:softHyphen/>
            </w:r>
            <w:r w:rsidR="006257D5" w:rsidRPr="009E64A2">
              <w:rPr>
                <w:rFonts w:asciiTheme="minorHAnsi" w:hAnsiTheme="minorHAnsi" w:cstheme="minorHAnsi"/>
                <w:szCs w:val="22"/>
              </w:rPr>
              <w:t>villkoren för de anställda i det Överlåtande Bolaget utan de kommer att fortsätta vara anställda på samma villkor som de var före Fusionen, med undantag för att deras arbets</w:t>
            </w:r>
            <w:r w:rsidR="000C5A9A">
              <w:rPr>
                <w:rFonts w:asciiTheme="minorHAnsi" w:hAnsiTheme="minorHAnsi" w:cstheme="minorHAnsi"/>
                <w:szCs w:val="22"/>
              </w:rPr>
              <w:softHyphen/>
            </w:r>
            <w:r w:rsidR="006257D5" w:rsidRPr="009E64A2">
              <w:rPr>
                <w:rFonts w:asciiTheme="minorHAnsi" w:hAnsiTheme="minorHAnsi" w:cstheme="minorHAnsi"/>
                <w:szCs w:val="22"/>
              </w:rPr>
              <w:t>givares legala identitet kom</w:t>
            </w:r>
            <w:r w:rsidR="006257D5" w:rsidRPr="009E64A2">
              <w:rPr>
                <w:rFonts w:asciiTheme="minorHAnsi" w:hAnsiTheme="minorHAnsi" w:cstheme="minorHAnsi"/>
                <w:szCs w:val="22"/>
              </w:rPr>
              <w:softHyphen/>
              <w:t>mer att ha ändrats.</w:t>
            </w:r>
            <w:r w:rsidR="008D3D20">
              <w:rPr>
                <w:rFonts w:asciiTheme="minorHAnsi" w:hAnsiTheme="minorHAnsi" w:cstheme="minorHAnsi"/>
                <w:szCs w:val="22"/>
              </w:rPr>
              <w:t xml:space="preserve"> </w:t>
            </w:r>
          </w:p>
        </w:tc>
        <w:tc>
          <w:tcPr>
            <w:tcW w:w="103" w:type="pct"/>
          </w:tcPr>
          <w:p w14:paraId="4BBA845D" w14:textId="77777777" w:rsidR="006257D5" w:rsidRDefault="006257D5" w:rsidP="006257D5">
            <w:pPr>
              <w:jc w:val="right"/>
            </w:pPr>
          </w:p>
        </w:tc>
        <w:tc>
          <w:tcPr>
            <w:tcW w:w="258" w:type="pct"/>
          </w:tcPr>
          <w:p w14:paraId="4D74B708" w14:textId="77777777" w:rsidR="006257D5" w:rsidRDefault="006257D5" w:rsidP="006257D5">
            <w:r>
              <w:t>4.2.1</w:t>
            </w:r>
          </w:p>
        </w:tc>
        <w:tc>
          <w:tcPr>
            <w:tcW w:w="1342" w:type="pct"/>
          </w:tcPr>
          <w:p w14:paraId="119E802E" w14:textId="3B1F5513" w:rsidR="006257D5" w:rsidRDefault="006257D5" w:rsidP="003049C4">
            <w:pPr>
              <w:rPr>
                <w:lang w:val="en-GB"/>
              </w:rPr>
            </w:pPr>
            <w:r w:rsidRPr="00C57DC7">
              <w:rPr>
                <w:lang w:val="en-US"/>
              </w:rPr>
              <w:t xml:space="preserve">From and including the date of the registration of the Merger in the Finnish Trade Register, </w:t>
            </w:r>
            <w:r>
              <w:rPr>
                <w:lang w:val="en-GB"/>
              </w:rPr>
              <w:t xml:space="preserve">the Transferor Company’s employees will be employed by the </w:t>
            </w:r>
            <w:r w:rsidR="003049C4">
              <w:rPr>
                <w:lang w:val="en-GB"/>
              </w:rPr>
              <w:t xml:space="preserve">Merged </w:t>
            </w:r>
            <w:r>
              <w:rPr>
                <w:lang w:val="en-GB"/>
              </w:rPr>
              <w:t xml:space="preserve">Company </w:t>
            </w:r>
            <w:r w:rsidR="00565AD8">
              <w:rPr>
                <w:lang w:val="en-GB"/>
              </w:rPr>
              <w:t xml:space="preserve">either directly or </w:t>
            </w:r>
            <w:r>
              <w:rPr>
                <w:lang w:val="en-GB"/>
              </w:rPr>
              <w:t xml:space="preserve">through the Branches. From and including the same date, the Transferor Company’s rights and obligations under the employment agreements and employments in force </w:t>
            </w:r>
            <w:r>
              <w:rPr>
                <w:lang w:val="en-GB"/>
              </w:rPr>
              <w:lastRenderedPageBreak/>
              <w:t xml:space="preserve">at the time of the Merger’s entering into force will be transferred to the </w:t>
            </w:r>
            <w:r w:rsidR="003049C4">
              <w:rPr>
                <w:lang w:val="en-GB"/>
              </w:rPr>
              <w:t xml:space="preserve">Merged </w:t>
            </w:r>
            <w:r>
              <w:rPr>
                <w:lang w:val="en-GB"/>
              </w:rPr>
              <w:t xml:space="preserve">Company. </w:t>
            </w:r>
            <w:r w:rsidRPr="009E64A2">
              <w:rPr>
                <w:rFonts w:asciiTheme="minorHAnsi" w:hAnsiTheme="minorHAnsi" w:cstheme="minorHAnsi"/>
                <w:lang w:val="en-GB"/>
              </w:rPr>
              <w:t>This will essentially not affect the employ</w:t>
            </w:r>
            <w:r w:rsidRPr="009E64A2">
              <w:rPr>
                <w:rFonts w:asciiTheme="minorHAnsi" w:hAnsiTheme="minorHAnsi" w:cstheme="minorHAnsi"/>
                <w:lang w:val="en-GB"/>
              </w:rPr>
              <w:softHyphen/>
              <w:t>ment terms for the employees of the Transferor Company and they will continue to be employed on the same terms as prior to the Merger, with the exception that the legal identity of their employer will have changed.</w:t>
            </w:r>
          </w:p>
        </w:tc>
        <w:tc>
          <w:tcPr>
            <w:tcW w:w="103" w:type="pct"/>
          </w:tcPr>
          <w:p w14:paraId="08A82920" w14:textId="77777777" w:rsidR="006257D5" w:rsidRDefault="006257D5" w:rsidP="006257D5">
            <w:pPr>
              <w:rPr>
                <w:lang w:val="en-GB"/>
              </w:rPr>
            </w:pPr>
          </w:p>
        </w:tc>
        <w:tc>
          <w:tcPr>
            <w:tcW w:w="259" w:type="pct"/>
          </w:tcPr>
          <w:p w14:paraId="363E5DE2" w14:textId="77777777" w:rsidR="006257D5" w:rsidRPr="00ED75F9" w:rsidRDefault="006257D5" w:rsidP="006257D5">
            <w:pPr>
              <w:rPr>
                <w:rFonts w:asciiTheme="minorHAnsi" w:hAnsiTheme="minorHAnsi" w:cstheme="minorHAnsi"/>
                <w:szCs w:val="22"/>
                <w:lang w:val="en-GB"/>
              </w:rPr>
            </w:pPr>
            <w:r>
              <w:t>4.2.1</w:t>
            </w:r>
          </w:p>
        </w:tc>
        <w:tc>
          <w:tcPr>
            <w:tcW w:w="1336" w:type="pct"/>
          </w:tcPr>
          <w:p w14:paraId="11A475DB" w14:textId="4C2F013A" w:rsidR="006257D5" w:rsidRPr="00B1655C" w:rsidRDefault="006257D5" w:rsidP="00AE6D6C">
            <w:pPr>
              <w:rPr>
                <w:lang w:val="fi-FI"/>
              </w:rPr>
            </w:pPr>
            <w:r>
              <w:rPr>
                <w:rFonts w:asciiTheme="minorHAnsi" w:hAnsiTheme="minorHAnsi" w:cstheme="minorHAnsi"/>
                <w:lang w:val="fi-FI"/>
              </w:rPr>
              <w:t xml:space="preserve">Sulautumisen täytäntöönpanon </w:t>
            </w:r>
            <w:r w:rsidR="00223146">
              <w:rPr>
                <w:rFonts w:asciiTheme="minorHAnsi" w:hAnsiTheme="minorHAnsi" w:cstheme="minorHAnsi"/>
                <w:lang w:val="fi-FI"/>
              </w:rPr>
              <w:t xml:space="preserve">rekisteröintipäivästä Suomen kaupparekisteriin alkaen ja mukaan lukien kyseinen päivä </w:t>
            </w:r>
            <w:r>
              <w:rPr>
                <w:rFonts w:asciiTheme="minorHAnsi" w:hAnsiTheme="minorHAnsi" w:cstheme="minorHAnsi"/>
                <w:lang w:val="fi-FI"/>
              </w:rPr>
              <w:t xml:space="preserve">Sulautuvan Yhtiön työntekijät </w:t>
            </w:r>
            <w:r w:rsidRPr="004D35E3">
              <w:rPr>
                <w:rFonts w:asciiTheme="minorHAnsi" w:hAnsiTheme="minorHAnsi" w:cstheme="minorHAnsi"/>
                <w:lang w:val="fi-FI"/>
              </w:rPr>
              <w:t xml:space="preserve">ovat </w:t>
            </w:r>
            <w:r w:rsidR="00CB5DEA">
              <w:rPr>
                <w:rFonts w:asciiTheme="minorHAnsi" w:hAnsiTheme="minorHAnsi" w:cstheme="minorHAnsi"/>
                <w:lang w:val="fi-FI"/>
              </w:rPr>
              <w:t xml:space="preserve">Sulautuneen </w:t>
            </w:r>
            <w:r w:rsidRPr="00F17C80">
              <w:rPr>
                <w:rFonts w:asciiTheme="minorHAnsi" w:hAnsiTheme="minorHAnsi" w:cstheme="minorHAnsi"/>
                <w:lang w:val="fi-FI"/>
              </w:rPr>
              <w:t xml:space="preserve">Yhtiön työntekijöitä </w:t>
            </w:r>
            <w:r w:rsidR="00223146">
              <w:rPr>
                <w:rFonts w:asciiTheme="minorHAnsi" w:hAnsiTheme="minorHAnsi" w:cstheme="minorHAnsi"/>
                <w:lang w:val="fi-FI"/>
              </w:rPr>
              <w:t xml:space="preserve">joko suoraan tai </w:t>
            </w:r>
            <w:r w:rsidRPr="00F17C80">
              <w:rPr>
                <w:rFonts w:asciiTheme="minorHAnsi" w:hAnsiTheme="minorHAnsi" w:cstheme="minorHAnsi"/>
                <w:lang w:val="fi-FI"/>
              </w:rPr>
              <w:t>Sivuliikke</w:t>
            </w:r>
            <w:r w:rsidR="00223146">
              <w:rPr>
                <w:rFonts w:asciiTheme="minorHAnsi" w:hAnsiTheme="minorHAnsi" w:cstheme="minorHAnsi"/>
                <w:lang w:val="fi-FI"/>
              </w:rPr>
              <w:t>ide</w:t>
            </w:r>
            <w:r w:rsidRPr="00F17C80">
              <w:rPr>
                <w:rFonts w:asciiTheme="minorHAnsi" w:hAnsiTheme="minorHAnsi" w:cstheme="minorHAnsi"/>
                <w:lang w:val="fi-FI"/>
              </w:rPr>
              <w:t>n kautta</w:t>
            </w:r>
            <w:r>
              <w:rPr>
                <w:rFonts w:asciiTheme="minorHAnsi" w:hAnsiTheme="minorHAnsi" w:cstheme="minorHAnsi"/>
                <w:lang w:val="fi-FI"/>
              </w:rPr>
              <w:t xml:space="preserve">. </w:t>
            </w:r>
            <w:r w:rsidR="00223146">
              <w:rPr>
                <w:rFonts w:asciiTheme="minorHAnsi" w:hAnsiTheme="minorHAnsi" w:cstheme="minorHAnsi"/>
                <w:lang w:val="fi-FI"/>
              </w:rPr>
              <w:t xml:space="preserve">Alkaen ja mukaan lukien kyseinen päivä, Sulautuvan Yhtiön oikeudet ja velvollisuudet </w:t>
            </w:r>
            <w:r w:rsidR="00762B37" w:rsidRPr="00762B37">
              <w:rPr>
                <w:rFonts w:asciiTheme="minorHAnsi" w:hAnsiTheme="minorHAnsi" w:cstheme="minorHAnsi"/>
                <w:lang w:val="fi-FI"/>
              </w:rPr>
              <w:t xml:space="preserve">Sulautumisen </w:t>
            </w:r>
            <w:r w:rsidR="00762B37" w:rsidRPr="00762B37">
              <w:rPr>
                <w:rFonts w:asciiTheme="minorHAnsi" w:hAnsiTheme="minorHAnsi" w:cstheme="minorHAnsi"/>
                <w:lang w:val="fi-FI"/>
              </w:rPr>
              <w:lastRenderedPageBreak/>
              <w:t xml:space="preserve">täytäntöönpanon hetkellä </w:t>
            </w:r>
            <w:r w:rsidR="00762B37">
              <w:rPr>
                <w:rFonts w:asciiTheme="minorHAnsi" w:hAnsiTheme="minorHAnsi" w:cstheme="minorHAnsi"/>
                <w:lang w:val="fi-FI"/>
              </w:rPr>
              <w:t xml:space="preserve">voimassa olevien </w:t>
            </w:r>
            <w:r w:rsidR="00223146">
              <w:rPr>
                <w:rFonts w:asciiTheme="minorHAnsi" w:hAnsiTheme="minorHAnsi" w:cstheme="minorHAnsi"/>
                <w:lang w:val="fi-FI"/>
              </w:rPr>
              <w:t xml:space="preserve">työsopimusten ja työsuhteiden osalta </w:t>
            </w:r>
            <w:r w:rsidR="00762B37">
              <w:rPr>
                <w:rFonts w:asciiTheme="minorHAnsi" w:hAnsiTheme="minorHAnsi" w:cstheme="minorHAnsi"/>
                <w:lang w:val="fi-FI"/>
              </w:rPr>
              <w:t xml:space="preserve">siirtyvät </w:t>
            </w:r>
            <w:r w:rsidR="00CB5DEA">
              <w:rPr>
                <w:rFonts w:asciiTheme="minorHAnsi" w:hAnsiTheme="minorHAnsi" w:cstheme="minorHAnsi"/>
                <w:lang w:val="fi-FI"/>
              </w:rPr>
              <w:t xml:space="preserve">Sulautuneelle </w:t>
            </w:r>
            <w:r w:rsidR="00762B37">
              <w:rPr>
                <w:rFonts w:asciiTheme="minorHAnsi" w:hAnsiTheme="minorHAnsi" w:cstheme="minorHAnsi"/>
                <w:lang w:val="fi-FI"/>
              </w:rPr>
              <w:t xml:space="preserve">Yhtiölle. </w:t>
            </w:r>
            <w:r w:rsidRPr="00B1655C">
              <w:rPr>
                <w:rFonts w:asciiTheme="minorHAnsi" w:hAnsiTheme="minorHAnsi" w:cstheme="minorHAnsi"/>
                <w:lang w:val="fi-FI"/>
              </w:rPr>
              <w:t xml:space="preserve">Tämä ei vaikuta olennaisesti </w:t>
            </w:r>
            <w:r>
              <w:rPr>
                <w:rFonts w:asciiTheme="minorHAnsi" w:hAnsiTheme="minorHAnsi" w:cstheme="minorHAnsi"/>
                <w:lang w:val="fi-FI"/>
              </w:rPr>
              <w:t xml:space="preserve">Sulautuvan Yhtiön </w:t>
            </w:r>
            <w:r w:rsidRPr="00B1655C">
              <w:rPr>
                <w:rFonts w:asciiTheme="minorHAnsi" w:hAnsiTheme="minorHAnsi" w:cstheme="minorHAnsi"/>
                <w:lang w:val="fi-FI"/>
              </w:rPr>
              <w:t xml:space="preserve">työntekijöiden työsuhteiden ehtoihin ja he </w:t>
            </w:r>
            <w:r>
              <w:rPr>
                <w:rFonts w:asciiTheme="minorHAnsi" w:hAnsiTheme="minorHAnsi" w:cstheme="minorHAnsi"/>
                <w:lang w:val="fi-FI"/>
              </w:rPr>
              <w:t xml:space="preserve">jatkavat työntekijöinä samoin ehdoin kuin ennen Sulautumista, sillä poikkeuksella, että heidän </w:t>
            </w:r>
            <w:r w:rsidRPr="004D35E3">
              <w:rPr>
                <w:rFonts w:asciiTheme="minorHAnsi" w:hAnsiTheme="minorHAnsi" w:cstheme="minorHAnsi"/>
                <w:lang w:val="fi-FI"/>
              </w:rPr>
              <w:t>työnantajansa oikeushenkilöllisyys on</w:t>
            </w:r>
            <w:r>
              <w:rPr>
                <w:rFonts w:asciiTheme="minorHAnsi" w:hAnsiTheme="minorHAnsi" w:cstheme="minorHAnsi"/>
                <w:lang w:val="fi-FI"/>
              </w:rPr>
              <w:t xml:space="preserve"> muuttunut.</w:t>
            </w:r>
          </w:p>
        </w:tc>
      </w:tr>
      <w:tr w:rsidR="00D56D80" w:rsidRPr="00D56D80" w14:paraId="253F9297" w14:textId="77777777" w:rsidTr="00317950">
        <w:tc>
          <w:tcPr>
            <w:tcW w:w="258" w:type="pct"/>
          </w:tcPr>
          <w:p w14:paraId="4B497F47" w14:textId="77777777"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lastRenderedPageBreak/>
              <w:t>4.2.2</w:t>
            </w:r>
          </w:p>
        </w:tc>
        <w:tc>
          <w:tcPr>
            <w:tcW w:w="1341" w:type="pct"/>
          </w:tcPr>
          <w:p w14:paraId="5DA4AA5F" w14:textId="40C8C5CE" w:rsidR="006257D5" w:rsidRDefault="006257D5" w:rsidP="006257D5">
            <w:pPr>
              <w:rPr>
                <w:rFonts w:asciiTheme="majorHAnsi" w:hAnsiTheme="majorHAnsi" w:cstheme="majorHAnsi"/>
                <w:sz w:val="20"/>
              </w:rPr>
            </w:pPr>
            <w:r w:rsidRPr="009E64A2">
              <w:rPr>
                <w:rFonts w:asciiTheme="minorHAnsi" w:hAnsiTheme="minorHAnsi" w:cstheme="minorHAnsi"/>
                <w:szCs w:val="22"/>
              </w:rPr>
              <w:t xml:space="preserve">Efter verkställandet av Fusionen kommer det Fusionerade Bolaget </w:t>
            </w:r>
            <w:r>
              <w:rPr>
                <w:rFonts w:asciiTheme="minorHAnsi" w:hAnsiTheme="minorHAnsi" w:cstheme="minorHAnsi"/>
                <w:szCs w:val="22"/>
              </w:rPr>
              <w:t xml:space="preserve">rättsligt sett </w:t>
            </w:r>
            <w:r w:rsidR="00D852DD">
              <w:rPr>
                <w:rFonts w:asciiTheme="minorHAnsi" w:hAnsiTheme="minorHAnsi" w:cstheme="minorHAnsi"/>
                <w:szCs w:val="22"/>
              </w:rPr>
              <w:t xml:space="preserve">att </w:t>
            </w:r>
            <w:r w:rsidRPr="009E64A2">
              <w:rPr>
                <w:rFonts w:asciiTheme="minorHAnsi" w:hAnsiTheme="minorHAnsi" w:cstheme="minorHAnsi"/>
                <w:szCs w:val="22"/>
              </w:rPr>
              <w:t>ansvara för alla förpliktelser som härrör från det Överlåtande Bolagets nuvarande anställningsförhållanden.</w:t>
            </w:r>
          </w:p>
        </w:tc>
        <w:tc>
          <w:tcPr>
            <w:tcW w:w="103" w:type="pct"/>
          </w:tcPr>
          <w:p w14:paraId="1128E7B7" w14:textId="77777777" w:rsidR="006257D5" w:rsidRDefault="006257D5" w:rsidP="006257D5">
            <w:pPr>
              <w:jc w:val="right"/>
            </w:pPr>
          </w:p>
        </w:tc>
        <w:tc>
          <w:tcPr>
            <w:tcW w:w="258" w:type="pct"/>
          </w:tcPr>
          <w:p w14:paraId="694E0BDA" w14:textId="77777777" w:rsidR="006257D5" w:rsidRDefault="006257D5" w:rsidP="006257D5">
            <w:r>
              <w:t>4.2.2</w:t>
            </w:r>
          </w:p>
        </w:tc>
        <w:tc>
          <w:tcPr>
            <w:tcW w:w="1342" w:type="pct"/>
          </w:tcPr>
          <w:p w14:paraId="7229A91F" w14:textId="5DC57CDC" w:rsidR="006257D5" w:rsidRDefault="006257D5" w:rsidP="006257D5">
            <w:pPr>
              <w:rPr>
                <w:lang w:val="en-GB"/>
              </w:rPr>
            </w:pPr>
            <w:r w:rsidRPr="009E64A2">
              <w:rPr>
                <w:rFonts w:asciiTheme="minorHAnsi" w:hAnsiTheme="minorHAnsi" w:cstheme="minorHAnsi"/>
                <w:lang w:val="en-GB"/>
              </w:rPr>
              <w:t>After the execution of the Merger, the Merged Company will legally be liable for all obligations deriving from the current employments of the Transferor Company.</w:t>
            </w:r>
          </w:p>
        </w:tc>
        <w:tc>
          <w:tcPr>
            <w:tcW w:w="103" w:type="pct"/>
          </w:tcPr>
          <w:p w14:paraId="4349FEED" w14:textId="77777777" w:rsidR="006257D5" w:rsidRDefault="006257D5" w:rsidP="006257D5">
            <w:pPr>
              <w:rPr>
                <w:lang w:val="en-GB"/>
              </w:rPr>
            </w:pPr>
          </w:p>
        </w:tc>
        <w:tc>
          <w:tcPr>
            <w:tcW w:w="259" w:type="pct"/>
          </w:tcPr>
          <w:p w14:paraId="08C59CE6" w14:textId="77777777" w:rsidR="006257D5" w:rsidRPr="00ED75F9" w:rsidRDefault="006257D5" w:rsidP="006257D5">
            <w:pPr>
              <w:rPr>
                <w:rFonts w:asciiTheme="minorHAnsi" w:hAnsiTheme="minorHAnsi" w:cstheme="minorHAnsi"/>
                <w:szCs w:val="22"/>
                <w:lang w:val="en-GB"/>
              </w:rPr>
            </w:pPr>
            <w:r>
              <w:t>4.2.2</w:t>
            </w:r>
          </w:p>
        </w:tc>
        <w:tc>
          <w:tcPr>
            <w:tcW w:w="1336" w:type="pct"/>
          </w:tcPr>
          <w:p w14:paraId="2020CC05" w14:textId="424EF76B" w:rsidR="006257D5" w:rsidRPr="00B1655C" w:rsidRDefault="006257D5" w:rsidP="00AE6D6C">
            <w:pPr>
              <w:rPr>
                <w:lang w:val="fi-FI"/>
              </w:rPr>
            </w:pPr>
            <w:r w:rsidRPr="00B1655C">
              <w:rPr>
                <w:rFonts w:asciiTheme="minorHAnsi" w:hAnsiTheme="minorHAnsi" w:cstheme="minorHAnsi"/>
                <w:lang w:val="fi-FI"/>
              </w:rPr>
              <w:t xml:space="preserve">Sulautumisen täytäntöönpanon jälkeen </w:t>
            </w:r>
            <w:r w:rsidR="00CB5DEA">
              <w:rPr>
                <w:rFonts w:asciiTheme="minorHAnsi" w:hAnsiTheme="minorHAnsi" w:cstheme="minorHAnsi"/>
                <w:lang w:val="fi-FI"/>
              </w:rPr>
              <w:t xml:space="preserve">Sulautunut </w:t>
            </w:r>
            <w:r w:rsidRPr="004D35E3">
              <w:rPr>
                <w:rFonts w:asciiTheme="minorHAnsi" w:hAnsiTheme="minorHAnsi" w:cstheme="minorHAnsi"/>
                <w:lang w:val="fi-FI"/>
              </w:rPr>
              <w:t>Yhtiö vastaa oikeudellisesti kaikista</w:t>
            </w:r>
            <w:r>
              <w:rPr>
                <w:rFonts w:asciiTheme="minorHAnsi" w:hAnsiTheme="minorHAnsi" w:cstheme="minorHAnsi"/>
                <w:lang w:val="fi-FI"/>
              </w:rPr>
              <w:t xml:space="preserve"> velvoitteista, jotka johtuvat Sulautuvan Yhtiön nykyisistä työsuhteista.</w:t>
            </w:r>
          </w:p>
        </w:tc>
      </w:tr>
      <w:tr w:rsidR="00D56D80" w:rsidRPr="00D56D80" w14:paraId="187BF938" w14:textId="77777777" w:rsidTr="00317950">
        <w:tc>
          <w:tcPr>
            <w:tcW w:w="258" w:type="pct"/>
          </w:tcPr>
          <w:p w14:paraId="12E77C3B" w14:textId="77777777"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t>4.2.3</w:t>
            </w:r>
          </w:p>
        </w:tc>
        <w:tc>
          <w:tcPr>
            <w:tcW w:w="1341" w:type="pct"/>
          </w:tcPr>
          <w:p w14:paraId="5595A0F3" w14:textId="694B4BFB" w:rsidR="006257D5" w:rsidRPr="009E64A2" w:rsidRDefault="006257D5" w:rsidP="003049C4">
            <w:pPr>
              <w:rPr>
                <w:rFonts w:asciiTheme="minorHAnsi" w:hAnsiTheme="minorHAnsi" w:cstheme="minorHAnsi"/>
                <w:szCs w:val="22"/>
              </w:rPr>
            </w:pPr>
            <w:r w:rsidRPr="009E64A2">
              <w:rPr>
                <w:rFonts w:asciiTheme="minorHAnsi" w:hAnsiTheme="minorHAnsi" w:cstheme="minorHAnsi"/>
                <w:szCs w:val="22"/>
              </w:rPr>
              <w:t>De anställda i de Fusionerande Bolagen kommer att fortsätta utföra samma typer av arbetsuppgifter på samma platser efter som före Fusionen.</w:t>
            </w:r>
            <w:r>
              <w:rPr>
                <w:rFonts w:asciiTheme="minorHAnsi" w:hAnsiTheme="minorHAnsi" w:cstheme="minorHAnsi"/>
                <w:szCs w:val="22"/>
              </w:rPr>
              <w:t xml:space="preserve"> </w:t>
            </w:r>
            <w:r w:rsidR="00735909">
              <w:t xml:space="preserve">Oaktat detta </w:t>
            </w:r>
            <w:r w:rsidR="00FC07E1">
              <w:t xml:space="preserve">kan </w:t>
            </w:r>
            <w:r w:rsidR="00B85596">
              <w:t xml:space="preserve">vissa av </w:t>
            </w:r>
            <w:r w:rsidR="00735909">
              <w:t>de</w:t>
            </w:r>
            <w:r w:rsidR="00AC0076">
              <w:t>t</w:t>
            </w:r>
            <w:r w:rsidR="00735909">
              <w:t xml:space="preserve"> Överlåtande Bolagets anställda </w:t>
            </w:r>
            <w:r w:rsidR="00B85596">
              <w:t xml:space="preserve">som </w:t>
            </w:r>
            <w:r w:rsidR="00BA06ED">
              <w:t xml:space="preserve">utför </w:t>
            </w:r>
            <w:r w:rsidR="00B85596">
              <w:t xml:space="preserve">ledningsuppgifter inom vissa koncernfunktioner i det Överlåtande </w:t>
            </w:r>
            <w:r w:rsidR="00B85596">
              <w:lastRenderedPageBreak/>
              <w:t xml:space="preserve">Bolaget </w:t>
            </w:r>
            <w:r w:rsidR="00FC07E1">
              <w:t>komma att över tid bli</w:t>
            </w:r>
            <w:r w:rsidR="00735909">
              <w:t xml:space="preserve"> anställda av det </w:t>
            </w:r>
            <w:r w:rsidR="003049C4">
              <w:t xml:space="preserve">Fusionerade </w:t>
            </w:r>
            <w:r w:rsidR="00735909">
              <w:t xml:space="preserve">Bolaget vid det nya huvudkontoret, dvs. i </w:t>
            </w:r>
            <w:r w:rsidR="00F6600D">
              <w:t>Helsingfors, Finland.</w:t>
            </w:r>
          </w:p>
        </w:tc>
        <w:tc>
          <w:tcPr>
            <w:tcW w:w="103" w:type="pct"/>
          </w:tcPr>
          <w:p w14:paraId="684C68FC" w14:textId="77777777" w:rsidR="006257D5" w:rsidRDefault="006257D5" w:rsidP="006257D5">
            <w:pPr>
              <w:jc w:val="right"/>
            </w:pPr>
          </w:p>
        </w:tc>
        <w:tc>
          <w:tcPr>
            <w:tcW w:w="258" w:type="pct"/>
          </w:tcPr>
          <w:p w14:paraId="56647C2A" w14:textId="77777777" w:rsidR="006257D5" w:rsidRDefault="006257D5" w:rsidP="006257D5">
            <w:r>
              <w:t>4.2.3</w:t>
            </w:r>
          </w:p>
        </w:tc>
        <w:tc>
          <w:tcPr>
            <w:tcW w:w="1342" w:type="pct"/>
          </w:tcPr>
          <w:p w14:paraId="67FC3152" w14:textId="29D7B2E4" w:rsidR="006257D5" w:rsidRPr="009E64A2" w:rsidRDefault="00F45198" w:rsidP="003049C4">
            <w:pPr>
              <w:pStyle w:val="Listanumrerad"/>
              <w:numPr>
                <w:ilvl w:val="0"/>
                <w:numId w:val="0"/>
              </w:numPr>
              <w:rPr>
                <w:rFonts w:asciiTheme="minorHAnsi" w:hAnsiTheme="minorHAnsi" w:cstheme="minorHAnsi"/>
                <w:lang w:val="en-GB"/>
              </w:rPr>
            </w:pPr>
            <w:r>
              <w:rPr>
                <w:rFonts w:asciiTheme="minorHAnsi" w:hAnsiTheme="minorHAnsi" w:cstheme="minorHAnsi"/>
                <w:lang w:val="en-GB"/>
              </w:rPr>
              <w:t>The employees of the</w:t>
            </w:r>
            <w:r w:rsidR="006257D5" w:rsidRPr="009E64A2">
              <w:rPr>
                <w:rFonts w:asciiTheme="minorHAnsi" w:hAnsiTheme="minorHAnsi" w:cstheme="minorHAnsi"/>
                <w:lang w:val="en-GB"/>
              </w:rPr>
              <w:t xml:space="preserve"> Merging Com</w:t>
            </w:r>
            <w:r w:rsidR="006257D5" w:rsidRPr="009E64A2">
              <w:rPr>
                <w:rFonts w:asciiTheme="minorHAnsi" w:hAnsiTheme="minorHAnsi" w:cstheme="minorHAnsi"/>
                <w:lang w:val="en-GB"/>
              </w:rPr>
              <w:softHyphen/>
              <w:t>panies will continue to carry out the same types of duties at the same places after as before the Merger.</w:t>
            </w:r>
            <w:r w:rsidR="006257D5">
              <w:rPr>
                <w:lang w:val="en-GB"/>
              </w:rPr>
              <w:t xml:space="preserve"> Notwithstanding the foregoing, </w:t>
            </w:r>
            <w:r w:rsidR="00BA06ED">
              <w:rPr>
                <w:lang w:val="en-GB"/>
              </w:rPr>
              <w:t xml:space="preserve">some of the </w:t>
            </w:r>
            <w:r w:rsidR="006257D5">
              <w:rPr>
                <w:lang w:val="en-GB"/>
              </w:rPr>
              <w:t>employees of the Transferor Company who</w:t>
            </w:r>
            <w:r w:rsidR="00BA06ED">
              <w:rPr>
                <w:lang w:val="en-GB"/>
              </w:rPr>
              <w:t xml:space="preserve"> </w:t>
            </w:r>
            <w:r w:rsidR="00AC0076">
              <w:rPr>
                <w:lang w:val="en-GB"/>
              </w:rPr>
              <w:t xml:space="preserve">perform </w:t>
            </w:r>
            <w:r w:rsidR="00BA06ED">
              <w:rPr>
                <w:lang w:val="en-GB"/>
              </w:rPr>
              <w:t xml:space="preserve">managerial </w:t>
            </w:r>
            <w:r w:rsidR="00AC0076">
              <w:rPr>
                <w:lang w:val="en-GB"/>
              </w:rPr>
              <w:t xml:space="preserve">tasks </w:t>
            </w:r>
            <w:r w:rsidR="00BA06ED">
              <w:rPr>
                <w:lang w:val="en-GB"/>
              </w:rPr>
              <w:t xml:space="preserve">within certain group functions in </w:t>
            </w:r>
            <w:r w:rsidR="00BA06ED">
              <w:rPr>
                <w:lang w:val="en-GB"/>
              </w:rPr>
              <w:lastRenderedPageBreak/>
              <w:t>the Transferor Company may over time</w:t>
            </w:r>
            <w:r w:rsidR="006257D5">
              <w:rPr>
                <w:lang w:val="en-GB"/>
              </w:rPr>
              <w:t xml:space="preserve"> be employed by the </w:t>
            </w:r>
            <w:r w:rsidR="003049C4">
              <w:rPr>
                <w:lang w:val="en-GB"/>
              </w:rPr>
              <w:t xml:space="preserve">Merged </w:t>
            </w:r>
            <w:r w:rsidR="006257D5">
              <w:rPr>
                <w:lang w:val="en-GB"/>
              </w:rPr>
              <w:t xml:space="preserve">Company at the place of the new head office, </w:t>
            </w:r>
            <w:r w:rsidR="006257D5" w:rsidRPr="00F33AC4">
              <w:rPr>
                <w:i/>
                <w:lang w:val="en-GB"/>
              </w:rPr>
              <w:t>i.e</w:t>
            </w:r>
            <w:r w:rsidR="006257D5">
              <w:rPr>
                <w:lang w:val="en-GB"/>
              </w:rPr>
              <w:t>.</w:t>
            </w:r>
            <w:r w:rsidR="00F33AC4">
              <w:rPr>
                <w:lang w:val="en-GB"/>
              </w:rPr>
              <w:t>,</w:t>
            </w:r>
            <w:r w:rsidR="006257D5">
              <w:rPr>
                <w:lang w:val="en-GB"/>
              </w:rPr>
              <w:t xml:space="preserve"> </w:t>
            </w:r>
            <w:r w:rsidR="00790C59">
              <w:rPr>
                <w:lang w:val="en-GB"/>
              </w:rPr>
              <w:t xml:space="preserve">in </w:t>
            </w:r>
            <w:r w:rsidR="006257D5">
              <w:rPr>
                <w:lang w:val="en-GB"/>
              </w:rPr>
              <w:t>Helsinki, Finland.</w:t>
            </w:r>
          </w:p>
        </w:tc>
        <w:tc>
          <w:tcPr>
            <w:tcW w:w="103" w:type="pct"/>
          </w:tcPr>
          <w:p w14:paraId="50FCFD5D" w14:textId="77777777" w:rsidR="006257D5" w:rsidRDefault="006257D5" w:rsidP="006257D5">
            <w:pPr>
              <w:rPr>
                <w:lang w:val="en-GB"/>
              </w:rPr>
            </w:pPr>
          </w:p>
        </w:tc>
        <w:tc>
          <w:tcPr>
            <w:tcW w:w="259" w:type="pct"/>
          </w:tcPr>
          <w:p w14:paraId="1490CC2D" w14:textId="77777777" w:rsidR="006257D5" w:rsidRPr="00ED75F9" w:rsidRDefault="006257D5" w:rsidP="006257D5">
            <w:pPr>
              <w:rPr>
                <w:rFonts w:asciiTheme="minorHAnsi" w:hAnsiTheme="minorHAnsi" w:cstheme="minorHAnsi"/>
                <w:szCs w:val="22"/>
                <w:lang w:val="en-GB"/>
              </w:rPr>
            </w:pPr>
            <w:r>
              <w:t>4.2.3</w:t>
            </w:r>
          </w:p>
        </w:tc>
        <w:tc>
          <w:tcPr>
            <w:tcW w:w="1336" w:type="pct"/>
          </w:tcPr>
          <w:p w14:paraId="11F5A9B3" w14:textId="5DD7F7E7" w:rsidR="006257D5" w:rsidRPr="00B1655C" w:rsidRDefault="006257D5" w:rsidP="003E01D5">
            <w:pPr>
              <w:pStyle w:val="Listanumrerad"/>
              <w:numPr>
                <w:ilvl w:val="0"/>
                <w:numId w:val="0"/>
              </w:numPr>
              <w:rPr>
                <w:rFonts w:asciiTheme="minorHAnsi" w:hAnsiTheme="minorHAnsi" w:cstheme="minorHAnsi"/>
                <w:lang w:val="fi-FI"/>
              </w:rPr>
            </w:pPr>
            <w:r w:rsidRPr="00B1655C">
              <w:rPr>
                <w:rFonts w:asciiTheme="minorHAnsi" w:hAnsiTheme="minorHAnsi" w:cstheme="minorHAnsi"/>
                <w:lang w:val="fi-FI"/>
              </w:rPr>
              <w:t>Sulautumiseen Osallistuvien Yhtiöiden työntekijät tulevat</w:t>
            </w:r>
            <w:r>
              <w:rPr>
                <w:rFonts w:asciiTheme="minorHAnsi" w:hAnsiTheme="minorHAnsi" w:cstheme="minorHAnsi"/>
                <w:lang w:val="fi-FI"/>
              </w:rPr>
              <w:t xml:space="preserve"> </w:t>
            </w:r>
            <w:r w:rsidR="0080745E">
              <w:rPr>
                <w:rFonts w:asciiTheme="minorHAnsi" w:hAnsiTheme="minorHAnsi" w:cstheme="minorHAnsi"/>
                <w:lang w:val="fi-FI"/>
              </w:rPr>
              <w:t xml:space="preserve">Sulautumisen jälkeen </w:t>
            </w:r>
            <w:r w:rsidRPr="004D35E3">
              <w:rPr>
                <w:rFonts w:asciiTheme="minorHAnsi" w:hAnsiTheme="minorHAnsi" w:cstheme="minorHAnsi"/>
                <w:lang w:val="fi-FI"/>
              </w:rPr>
              <w:t xml:space="preserve">jatkamaan samantyyppisten </w:t>
            </w:r>
            <w:r>
              <w:rPr>
                <w:rFonts w:asciiTheme="minorHAnsi" w:hAnsiTheme="minorHAnsi" w:cstheme="minorHAnsi"/>
                <w:lang w:val="fi-FI"/>
              </w:rPr>
              <w:t>työ</w:t>
            </w:r>
            <w:r w:rsidRPr="004D35E3">
              <w:rPr>
                <w:rFonts w:asciiTheme="minorHAnsi" w:hAnsiTheme="minorHAnsi" w:cstheme="minorHAnsi"/>
                <w:lang w:val="fi-FI"/>
              </w:rPr>
              <w:t>tehtävien hoitamista</w:t>
            </w:r>
            <w:r>
              <w:rPr>
                <w:rFonts w:asciiTheme="minorHAnsi" w:hAnsiTheme="minorHAnsi" w:cstheme="minorHAnsi"/>
                <w:lang w:val="fi-FI"/>
              </w:rPr>
              <w:t xml:space="preserve"> samoissa paikoissa kuin ennen Sulautumista.</w:t>
            </w:r>
            <w:r w:rsidR="00762B37" w:rsidRPr="00982A05">
              <w:rPr>
                <w:lang w:val="fi-FI"/>
              </w:rPr>
              <w:t xml:space="preserve"> </w:t>
            </w:r>
            <w:r w:rsidR="00762B37" w:rsidRPr="00762B37">
              <w:rPr>
                <w:rFonts w:asciiTheme="minorHAnsi" w:hAnsiTheme="minorHAnsi" w:cstheme="minorHAnsi"/>
                <w:lang w:val="fi-FI"/>
              </w:rPr>
              <w:t xml:space="preserve">Edellä sanotusta huolimatta, </w:t>
            </w:r>
            <w:r w:rsidR="006C5C5E">
              <w:rPr>
                <w:rFonts w:asciiTheme="minorHAnsi" w:hAnsiTheme="minorHAnsi" w:cstheme="minorHAnsi"/>
                <w:lang w:val="fi-FI"/>
              </w:rPr>
              <w:t xml:space="preserve">tietyt Sulautuvan Yhtiön </w:t>
            </w:r>
            <w:r w:rsidR="00762B37" w:rsidRPr="00762B37">
              <w:rPr>
                <w:rFonts w:asciiTheme="minorHAnsi" w:hAnsiTheme="minorHAnsi" w:cstheme="minorHAnsi"/>
                <w:lang w:val="fi-FI"/>
              </w:rPr>
              <w:t xml:space="preserve">työntekijät, jotka </w:t>
            </w:r>
            <w:r w:rsidR="00CB5DEA">
              <w:rPr>
                <w:rFonts w:asciiTheme="minorHAnsi" w:hAnsiTheme="minorHAnsi" w:cstheme="minorHAnsi"/>
                <w:lang w:val="fi-FI"/>
              </w:rPr>
              <w:t>toimivat johtotehtävissä</w:t>
            </w:r>
            <w:r w:rsidR="006C5C5E">
              <w:rPr>
                <w:rFonts w:asciiTheme="minorHAnsi" w:hAnsiTheme="minorHAnsi" w:cstheme="minorHAnsi"/>
                <w:lang w:val="fi-FI"/>
              </w:rPr>
              <w:t xml:space="preserve"> </w:t>
            </w:r>
            <w:r w:rsidR="006912BD">
              <w:rPr>
                <w:rFonts w:asciiTheme="minorHAnsi" w:hAnsiTheme="minorHAnsi" w:cstheme="minorHAnsi"/>
                <w:lang w:val="fi-FI"/>
              </w:rPr>
              <w:t>tietyissä</w:t>
            </w:r>
            <w:r w:rsidR="00CB5DEA">
              <w:rPr>
                <w:rFonts w:asciiTheme="minorHAnsi" w:hAnsiTheme="minorHAnsi" w:cstheme="minorHAnsi"/>
                <w:lang w:val="fi-FI"/>
              </w:rPr>
              <w:t xml:space="preserve"> </w:t>
            </w:r>
            <w:r w:rsidR="00CB5DEA">
              <w:rPr>
                <w:rFonts w:asciiTheme="minorHAnsi" w:hAnsiTheme="minorHAnsi" w:cstheme="minorHAnsi"/>
                <w:lang w:val="fi-FI"/>
              </w:rPr>
              <w:lastRenderedPageBreak/>
              <w:t xml:space="preserve">Sulautuvan Yhtiön konsernitoiminnoissa, </w:t>
            </w:r>
            <w:r w:rsidR="006912BD">
              <w:rPr>
                <w:rFonts w:asciiTheme="minorHAnsi" w:hAnsiTheme="minorHAnsi" w:cstheme="minorHAnsi"/>
                <w:lang w:val="fi-FI"/>
              </w:rPr>
              <w:t>saattavat ajan myötä työllistyä</w:t>
            </w:r>
            <w:r w:rsidR="00762B37" w:rsidRPr="00762B37">
              <w:rPr>
                <w:rFonts w:asciiTheme="minorHAnsi" w:hAnsiTheme="minorHAnsi" w:cstheme="minorHAnsi"/>
                <w:lang w:val="fi-FI"/>
              </w:rPr>
              <w:t xml:space="preserve"> </w:t>
            </w:r>
            <w:r w:rsidR="00CB5DEA">
              <w:rPr>
                <w:rFonts w:asciiTheme="minorHAnsi" w:hAnsiTheme="minorHAnsi" w:cstheme="minorHAnsi"/>
                <w:lang w:val="fi-FI"/>
              </w:rPr>
              <w:t xml:space="preserve">Sulautuneessa </w:t>
            </w:r>
            <w:r w:rsidR="00762B37" w:rsidRPr="00762B37">
              <w:rPr>
                <w:rFonts w:asciiTheme="minorHAnsi" w:hAnsiTheme="minorHAnsi" w:cstheme="minorHAnsi"/>
                <w:lang w:val="fi-FI"/>
              </w:rPr>
              <w:t>Yhtiössä</w:t>
            </w:r>
            <w:r w:rsidR="006912BD">
              <w:rPr>
                <w:rFonts w:asciiTheme="minorHAnsi" w:hAnsiTheme="minorHAnsi" w:cstheme="minorHAnsi"/>
                <w:lang w:val="fi-FI"/>
              </w:rPr>
              <w:t>,</w:t>
            </w:r>
            <w:r w:rsidR="0073596E">
              <w:rPr>
                <w:rFonts w:asciiTheme="minorHAnsi" w:hAnsiTheme="minorHAnsi" w:cstheme="minorHAnsi"/>
                <w:lang w:val="fi-FI"/>
              </w:rPr>
              <w:t xml:space="preserve"> </w:t>
            </w:r>
            <w:r w:rsidR="006912BD">
              <w:rPr>
                <w:rFonts w:asciiTheme="minorHAnsi" w:hAnsiTheme="minorHAnsi" w:cstheme="minorHAnsi"/>
                <w:lang w:val="fi-FI"/>
              </w:rPr>
              <w:t xml:space="preserve">sen </w:t>
            </w:r>
            <w:r w:rsidR="00762B37" w:rsidRPr="00762B37">
              <w:rPr>
                <w:rFonts w:asciiTheme="minorHAnsi" w:hAnsiTheme="minorHAnsi" w:cstheme="minorHAnsi"/>
                <w:lang w:val="fi-FI"/>
              </w:rPr>
              <w:t>uudessa pääkonttorissa, eli Helsingissä</w:t>
            </w:r>
            <w:r w:rsidR="00CB5DEA">
              <w:rPr>
                <w:rFonts w:asciiTheme="minorHAnsi" w:hAnsiTheme="minorHAnsi" w:cstheme="minorHAnsi"/>
                <w:lang w:val="fi-FI"/>
              </w:rPr>
              <w:t xml:space="preserve"> Suomessa</w:t>
            </w:r>
            <w:r w:rsidR="00762B37" w:rsidRPr="00762B37">
              <w:rPr>
                <w:rFonts w:asciiTheme="minorHAnsi" w:hAnsiTheme="minorHAnsi" w:cstheme="minorHAnsi"/>
                <w:lang w:val="fi-FI"/>
              </w:rPr>
              <w:t>.</w:t>
            </w:r>
          </w:p>
        </w:tc>
      </w:tr>
      <w:tr w:rsidR="00D56D80" w:rsidRPr="00D56D80" w14:paraId="542B65DE" w14:textId="77777777" w:rsidTr="00317950">
        <w:tc>
          <w:tcPr>
            <w:tcW w:w="258" w:type="pct"/>
          </w:tcPr>
          <w:p w14:paraId="67148DDE" w14:textId="77777777"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lastRenderedPageBreak/>
              <w:t>4.2.4</w:t>
            </w:r>
          </w:p>
        </w:tc>
        <w:tc>
          <w:tcPr>
            <w:tcW w:w="1341" w:type="pct"/>
          </w:tcPr>
          <w:p w14:paraId="1A936427" w14:textId="75687C2D" w:rsidR="006257D5" w:rsidRPr="009E64A2" w:rsidRDefault="006257D5" w:rsidP="006257D5">
            <w:pPr>
              <w:rPr>
                <w:rFonts w:asciiTheme="minorHAnsi" w:hAnsiTheme="minorHAnsi" w:cstheme="minorHAnsi"/>
                <w:szCs w:val="22"/>
              </w:rPr>
            </w:pPr>
            <w:r w:rsidRPr="00934269">
              <w:rPr>
                <w:rFonts w:asciiTheme="minorHAnsi" w:hAnsiTheme="minorHAnsi" w:cstheme="minorHAnsi"/>
                <w:szCs w:val="22"/>
              </w:rPr>
              <w:t>Inget av de Fusionerande Bolagen ska</w:t>
            </w:r>
            <w:r w:rsidRPr="009E64A2">
              <w:rPr>
                <w:rFonts w:asciiTheme="minorHAnsi" w:hAnsiTheme="minorHAnsi" w:cstheme="minorHAnsi"/>
                <w:szCs w:val="22"/>
              </w:rPr>
              <w:t xml:space="preserve"> till följd av Fusionen ha rätt till uppsägning av anställningsavtal</w:t>
            </w:r>
            <w:r>
              <w:rPr>
                <w:rFonts w:asciiTheme="minorHAnsi" w:hAnsiTheme="minorHAnsi" w:cstheme="minorHAnsi"/>
                <w:szCs w:val="22"/>
              </w:rPr>
              <w:t>en</w:t>
            </w:r>
            <w:r w:rsidRPr="009E64A2">
              <w:rPr>
                <w:rFonts w:asciiTheme="minorHAnsi" w:hAnsiTheme="minorHAnsi" w:cstheme="minorHAnsi"/>
                <w:szCs w:val="22"/>
              </w:rPr>
              <w:t>. Detta ska emellertid inte inverka</w:t>
            </w:r>
            <w:r>
              <w:rPr>
                <w:rFonts w:asciiTheme="minorHAnsi" w:hAnsiTheme="minorHAnsi" w:cstheme="minorHAnsi"/>
                <w:szCs w:val="22"/>
              </w:rPr>
              <w:t xml:space="preserve"> på en eventuell rätt att verkstäl</w:t>
            </w:r>
            <w:r w:rsidRPr="009E64A2">
              <w:rPr>
                <w:rFonts w:asciiTheme="minorHAnsi" w:hAnsiTheme="minorHAnsi" w:cstheme="minorHAnsi"/>
                <w:szCs w:val="22"/>
              </w:rPr>
              <w:t>la up</w:t>
            </w:r>
            <w:r>
              <w:rPr>
                <w:rFonts w:asciiTheme="minorHAnsi" w:hAnsiTheme="minorHAnsi" w:cstheme="minorHAnsi"/>
                <w:szCs w:val="22"/>
              </w:rPr>
              <w:t>p</w:t>
            </w:r>
            <w:r w:rsidR="000C5A9A">
              <w:rPr>
                <w:rFonts w:asciiTheme="minorHAnsi" w:hAnsiTheme="minorHAnsi" w:cstheme="minorHAnsi"/>
                <w:szCs w:val="22"/>
              </w:rPr>
              <w:softHyphen/>
            </w:r>
            <w:r>
              <w:rPr>
                <w:rFonts w:asciiTheme="minorHAnsi" w:hAnsiTheme="minorHAnsi" w:cstheme="minorHAnsi"/>
                <w:szCs w:val="22"/>
              </w:rPr>
              <w:t>sägning av sådana andra godtag</w:t>
            </w:r>
            <w:r w:rsidR="000C5A9A">
              <w:rPr>
                <w:rFonts w:asciiTheme="minorHAnsi" w:hAnsiTheme="minorHAnsi" w:cstheme="minorHAnsi"/>
                <w:szCs w:val="22"/>
              </w:rPr>
              <w:softHyphen/>
            </w:r>
            <w:r w:rsidRPr="009E64A2">
              <w:rPr>
                <w:rFonts w:asciiTheme="minorHAnsi" w:hAnsiTheme="minorHAnsi" w:cstheme="minorHAnsi"/>
                <w:szCs w:val="22"/>
              </w:rPr>
              <w:t>bara skäl som kan anges i en enskild anställds anställningsavtal eller uppstå till följd av gällande lag.</w:t>
            </w:r>
          </w:p>
        </w:tc>
        <w:tc>
          <w:tcPr>
            <w:tcW w:w="103" w:type="pct"/>
          </w:tcPr>
          <w:p w14:paraId="2375F23A" w14:textId="77777777" w:rsidR="006257D5" w:rsidRDefault="006257D5" w:rsidP="006257D5">
            <w:pPr>
              <w:jc w:val="right"/>
            </w:pPr>
          </w:p>
        </w:tc>
        <w:tc>
          <w:tcPr>
            <w:tcW w:w="258" w:type="pct"/>
          </w:tcPr>
          <w:p w14:paraId="7EDA6E89" w14:textId="77777777" w:rsidR="006257D5" w:rsidRDefault="006257D5" w:rsidP="006257D5">
            <w:r>
              <w:t>4.2.4</w:t>
            </w:r>
          </w:p>
        </w:tc>
        <w:tc>
          <w:tcPr>
            <w:tcW w:w="1342" w:type="pct"/>
          </w:tcPr>
          <w:p w14:paraId="1CCF8B50" w14:textId="77777777" w:rsidR="006257D5" w:rsidRPr="009E64A2" w:rsidRDefault="006257D5" w:rsidP="006257D5">
            <w:pPr>
              <w:pStyle w:val="Listanumrerad"/>
              <w:numPr>
                <w:ilvl w:val="0"/>
                <w:numId w:val="0"/>
              </w:numPr>
              <w:rPr>
                <w:rFonts w:asciiTheme="minorHAnsi" w:hAnsiTheme="minorHAnsi" w:cstheme="minorHAnsi"/>
                <w:lang w:val="en-GB"/>
              </w:rPr>
            </w:pPr>
            <w:r w:rsidRPr="009E64A2">
              <w:rPr>
                <w:rFonts w:asciiTheme="minorHAnsi" w:hAnsiTheme="minorHAnsi" w:cstheme="minorHAnsi"/>
                <w:lang w:val="en-GB"/>
              </w:rPr>
              <w:t>None of the Merging Companies shall have a right to terminate the employment agreements as a result of the Merger. However, this shall not affect the possibility to carry out termination on such other acceptable grounds as may be stated in each individual employee’s employment agreement or arise as a result of applicable law.</w:t>
            </w:r>
          </w:p>
        </w:tc>
        <w:tc>
          <w:tcPr>
            <w:tcW w:w="103" w:type="pct"/>
          </w:tcPr>
          <w:p w14:paraId="6120342F" w14:textId="77777777" w:rsidR="006257D5" w:rsidRDefault="006257D5" w:rsidP="006257D5">
            <w:pPr>
              <w:rPr>
                <w:lang w:val="en-GB"/>
              </w:rPr>
            </w:pPr>
          </w:p>
        </w:tc>
        <w:tc>
          <w:tcPr>
            <w:tcW w:w="259" w:type="pct"/>
          </w:tcPr>
          <w:p w14:paraId="2B7ECACA" w14:textId="77777777" w:rsidR="006257D5" w:rsidRPr="00ED75F9" w:rsidRDefault="006257D5" w:rsidP="006257D5">
            <w:pPr>
              <w:rPr>
                <w:rFonts w:asciiTheme="minorHAnsi" w:hAnsiTheme="minorHAnsi" w:cstheme="minorHAnsi"/>
                <w:szCs w:val="22"/>
                <w:lang w:val="en-GB"/>
              </w:rPr>
            </w:pPr>
            <w:r>
              <w:t>4.2.4</w:t>
            </w:r>
          </w:p>
        </w:tc>
        <w:tc>
          <w:tcPr>
            <w:tcW w:w="1336" w:type="pct"/>
          </w:tcPr>
          <w:p w14:paraId="3A366772" w14:textId="77777777" w:rsidR="006257D5" w:rsidRPr="00EF3477" w:rsidRDefault="006257D5" w:rsidP="006257D5">
            <w:pPr>
              <w:pStyle w:val="Listanumrerad"/>
              <w:numPr>
                <w:ilvl w:val="0"/>
                <w:numId w:val="0"/>
              </w:numPr>
              <w:rPr>
                <w:rFonts w:asciiTheme="minorHAnsi" w:hAnsiTheme="minorHAnsi" w:cstheme="minorHAnsi"/>
                <w:lang w:val="fi-FI"/>
              </w:rPr>
            </w:pPr>
            <w:r w:rsidRPr="00761F85">
              <w:rPr>
                <w:rFonts w:asciiTheme="minorHAnsi" w:hAnsiTheme="minorHAnsi" w:cstheme="minorHAnsi"/>
                <w:lang w:val="fi-FI"/>
              </w:rPr>
              <w:t>Kummallakaan Sulautumiseen</w:t>
            </w:r>
            <w:r w:rsidRPr="003D2B2A">
              <w:rPr>
                <w:rFonts w:asciiTheme="minorHAnsi" w:hAnsiTheme="minorHAnsi" w:cstheme="minorHAnsi"/>
                <w:lang w:val="fi-FI"/>
              </w:rPr>
              <w:t xml:space="preserve"> Osallistuvista Yhtiöistä ei ole oikeutta irtisanoa työsopimuksia Sulautumisen johdosta. Tämä ei kuitenkaan vaikuta mahdollisuuteen toteuttaa irtisanominen muilla sellaisilla hyväksyttävillä perusteilla siten kuin on voitu mainita kunkin yksittäisen työntekijän työsopimuksessa tai siten kuin soveltuvista laeista johtuu.</w:t>
            </w:r>
          </w:p>
        </w:tc>
      </w:tr>
      <w:tr w:rsidR="00D56D80" w:rsidRPr="00D56D80" w14:paraId="457FCC1A" w14:textId="77777777" w:rsidTr="00317950">
        <w:tc>
          <w:tcPr>
            <w:tcW w:w="258" w:type="pct"/>
          </w:tcPr>
          <w:p w14:paraId="1FEFCD3E" w14:textId="77777777" w:rsidR="006257D5" w:rsidRDefault="006257D5" w:rsidP="006257D5">
            <w:pPr>
              <w:rPr>
                <w:rFonts w:asciiTheme="minorHAnsi" w:hAnsiTheme="minorHAnsi" w:cstheme="minorHAnsi"/>
                <w:szCs w:val="22"/>
                <w:lang w:val="en-GB"/>
              </w:rPr>
            </w:pPr>
            <w:r>
              <w:rPr>
                <w:rFonts w:asciiTheme="minorHAnsi" w:hAnsiTheme="minorHAnsi" w:cstheme="minorHAnsi"/>
                <w:szCs w:val="22"/>
                <w:lang w:val="en-GB"/>
              </w:rPr>
              <w:t>4.2.5</w:t>
            </w:r>
          </w:p>
        </w:tc>
        <w:tc>
          <w:tcPr>
            <w:tcW w:w="1341" w:type="pct"/>
          </w:tcPr>
          <w:p w14:paraId="4DA183F6" w14:textId="0F3C43C3" w:rsidR="006257D5" w:rsidRPr="009E64A2" w:rsidRDefault="006257D5" w:rsidP="006257D5">
            <w:pPr>
              <w:rPr>
                <w:rFonts w:asciiTheme="minorHAnsi" w:hAnsiTheme="minorHAnsi" w:cstheme="minorHAnsi"/>
                <w:szCs w:val="22"/>
              </w:rPr>
            </w:pPr>
            <w:r w:rsidRPr="009E64A2">
              <w:rPr>
                <w:rFonts w:asciiTheme="minorHAnsi" w:hAnsiTheme="minorHAnsi" w:cstheme="minorHAnsi"/>
                <w:szCs w:val="22"/>
              </w:rPr>
              <w:t>Mot denna bakgrund bedömer styrelserna att Fusionen i allt väsent</w:t>
            </w:r>
            <w:r w:rsidR="000C5A9A">
              <w:rPr>
                <w:rFonts w:asciiTheme="minorHAnsi" w:hAnsiTheme="minorHAnsi" w:cstheme="minorHAnsi"/>
                <w:szCs w:val="22"/>
              </w:rPr>
              <w:softHyphen/>
            </w:r>
            <w:r w:rsidRPr="009E64A2">
              <w:rPr>
                <w:rFonts w:asciiTheme="minorHAnsi" w:hAnsiTheme="minorHAnsi" w:cstheme="minorHAnsi"/>
                <w:szCs w:val="22"/>
              </w:rPr>
              <w:t>ligt inte har några negativa kon</w:t>
            </w:r>
            <w:r w:rsidRPr="009E64A2">
              <w:rPr>
                <w:rFonts w:asciiTheme="minorHAnsi" w:hAnsiTheme="minorHAnsi" w:cstheme="minorHAnsi"/>
                <w:szCs w:val="22"/>
              </w:rPr>
              <w:softHyphen/>
              <w:t>sekv</w:t>
            </w:r>
            <w:r w:rsidR="000C5A9A">
              <w:rPr>
                <w:rFonts w:asciiTheme="minorHAnsi" w:hAnsiTheme="minorHAnsi" w:cstheme="minorHAnsi"/>
                <w:szCs w:val="22"/>
              </w:rPr>
              <w:softHyphen/>
            </w:r>
            <w:r w:rsidRPr="009E64A2">
              <w:rPr>
                <w:rFonts w:asciiTheme="minorHAnsi" w:hAnsiTheme="minorHAnsi" w:cstheme="minorHAnsi"/>
                <w:szCs w:val="22"/>
              </w:rPr>
              <w:t xml:space="preserve">enser </w:t>
            </w:r>
            <w:r w:rsidR="000C5A9A">
              <w:rPr>
                <w:rFonts w:asciiTheme="minorHAnsi" w:hAnsiTheme="minorHAnsi" w:cstheme="minorHAnsi"/>
                <w:szCs w:val="22"/>
              </w:rPr>
              <w:t>för de anställda och att vill</w:t>
            </w:r>
            <w:r w:rsidR="000C5A9A">
              <w:rPr>
                <w:rFonts w:asciiTheme="minorHAnsi" w:hAnsiTheme="minorHAnsi" w:cstheme="minorHAnsi"/>
                <w:szCs w:val="22"/>
              </w:rPr>
              <w:softHyphen/>
              <w:t>ko</w:t>
            </w:r>
            <w:r w:rsidRPr="009E64A2">
              <w:rPr>
                <w:rFonts w:asciiTheme="minorHAnsi" w:hAnsiTheme="minorHAnsi" w:cstheme="minorHAnsi"/>
                <w:szCs w:val="22"/>
              </w:rPr>
              <w:t>ren för deras anställningar inte kommer att påverkas negativt av Fusionen, med beaktande av att de kommer att vara anställda i det Fusionerade Bolaget</w:t>
            </w:r>
            <w:r w:rsidR="00C3583A">
              <w:rPr>
                <w:rFonts w:asciiTheme="minorHAnsi" w:hAnsiTheme="minorHAnsi" w:cstheme="minorHAnsi"/>
                <w:szCs w:val="22"/>
              </w:rPr>
              <w:t>,</w:t>
            </w:r>
            <w:r w:rsidRPr="009E64A2">
              <w:rPr>
                <w:rFonts w:asciiTheme="minorHAnsi" w:hAnsiTheme="minorHAnsi" w:cstheme="minorHAnsi"/>
                <w:szCs w:val="22"/>
              </w:rPr>
              <w:t xml:space="preserve"> </w:t>
            </w:r>
            <w:r>
              <w:rPr>
                <w:rFonts w:asciiTheme="minorHAnsi" w:hAnsiTheme="minorHAnsi" w:cstheme="minorHAnsi"/>
                <w:szCs w:val="22"/>
              </w:rPr>
              <w:t>inklusive genom Filialerna</w:t>
            </w:r>
            <w:r w:rsidR="00C3583A">
              <w:rPr>
                <w:rFonts w:asciiTheme="minorHAnsi" w:hAnsiTheme="minorHAnsi" w:cstheme="minorHAnsi"/>
                <w:szCs w:val="22"/>
              </w:rPr>
              <w:t>.</w:t>
            </w:r>
          </w:p>
        </w:tc>
        <w:tc>
          <w:tcPr>
            <w:tcW w:w="103" w:type="pct"/>
          </w:tcPr>
          <w:p w14:paraId="4850564C" w14:textId="77777777" w:rsidR="006257D5" w:rsidRDefault="006257D5" w:rsidP="006257D5">
            <w:pPr>
              <w:jc w:val="right"/>
            </w:pPr>
          </w:p>
        </w:tc>
        <w:tc>
          <w:tcPr>
            <w:tcW w:w="258" w:type="pct"/>
          </w:tcPr>
          <w:p w14:paraId="4D0B8AF5" w14:textId="77777777" w:rsidR="006257D5" w:rsidRDefault="006257D5" w:rsidP="006257D5">
            <w:r>
              <w:t>4.2.5</w:t>
            </w:r>
          </w:p>
        </w:tc>
        <w:tc>
          <w:tcPr>
            <w:tcW w:w="1342" w:type="pct"/>
          </w:tcPr>
          <w:p w14:paraId="4EDEC1AE" w14:textId="2D73CA57" w:rsidR="006257D5" w:rsidRPr="009E64A2" w:rsidRDefault="006257D5" w:rsidP="006257D5">
            <w:pPr>
              <w:pStyle w:val="Listanumrerad"/>
              <w:numPr>
                <w:ilvl w:val="0"/>
                <w:numId w:val="0"/>
              </w:numPr>
              <w:rPr>
                <w:rFonts w:asciiTheme="minorHAnsi" w:hAnsiTheme="minorHAnsi" w:cstheme="minorHAnsi"/>
                <w:lang w:val="en-GB"/>
              </w:rPr>
            </w:pPr>
            <w:r w:rsidRPr="009E64A2">
              <w:rPr>
                <w:rFonts w:asciiTheme="minorHAnsi" w:hAnsiTheme="minorHAnsi" w:cstheme="minorHAnsi"/>
                <w:lang w:val="en-GB"/>
              </w:rPr>
              <w:t>In view of the above, the boards of direc</w:t>
            </w:r>
            <w:r w:rsidRPr="009E64A2">
              <w:rPr>
                <w:rFonts w:asciiTheme="minorHAnsi" w:hAnsiTheme="minorHAnsi" w:cstheme="minorHAnsi"/>
                <w:lang w:val="en-GB"/>
              </w:rPr>
              <w:softHyphen/>
              <w:t>tors conclude that the Merger essentially does not have any adverse implications for the employees and that the terms of their employments will not be adversely affected by the Merger, considering that they will be employed by the Merged Company</w:t>
            </w:r>
            <w:r w:rsidR="00C358E8">
              <w:rPr>
                <w:rFonts w:asciiTheme="minorHAnsi" w:hAnsiTheme="minorHAnsi" w:cstheme="minorHAnsi"/>
                <w:lang w:val="en-GB"/>
              </w:rPr>
              <w:t>,</w:t>
            </w:r>
            <w:r w:rsidRPr="009E64A2">
              <w:rPr>
                <w:rFonts w:asciiTheme="minorHAnsi" w:hAnsiTheme="minorHAnsi" w:cstheme="minorHAnsi"/>
                <w:lang w:val="en-GB"/>
              </w:rPr>
              <w:t xml:space="preserve"> </w:t>
            </w:r>
            <w:r>
              <w:rPr>
                <w:rFonts w:asciiTheme="minorHAnsi" w:hAnsiTheme="minorHAnsi" w:cstheme="minorHAnsi"/>
                <w:lang w:val="en-GB"/>
              </w:rPr>
              <w:t xml:space="preserve">including </w:t>
            </w:r>
            <w:r w:rsidRPr="009E64A2">
              <w:rPr>
                <w:rFonts w:asciiTheme="minorHAnsi" w:hAnsiTheme="minorHAnsi" w:cstheme="minorHAnsi"/>
                <w:lang w:val="en-GB"/>
              </w:rPr>
              <w:t>through the Branch</w:t>
            </w:r>
            <w:r>
              <w:rPr>
                <w:rFonts w:asciiTheme="minorHAnsi" w:hAnsiTheme="minorHAnsi" w:cstheme="minorHAnsi"/>
                <w:lang w:val="en-GB"/>
              </w:rPr>
              <w:t>es</w:t>
            </w:r>
            <w:r w:rsidRPr="009E64A2">
              <w:rPr>
                <w:rFonts w:asciiTheme="minorHAnsi" w:hAnsiTheme="minorHAnsi" w:cstheme="minorHAnsi"/>
                <w:lang w:val="en-GB"/>
              </w:rPr>
              <w:t>.</w:t>
            </w:r>
          </w:p>
        </w:tc>
        <w:tc>
          <w:tcPr>
            <w:tcW w:w="103" w:type="pct"/>
          </w:tcPr>
          <w:p w14:paraId="52B90089" w14:textId="77777777" w:rsidR="006257D5" w:rsidRDefault="006257D5" w:rsidP="006257D5">
            <w:pPr>
              <w:rPr>
                <w:lang w:val="en-GB"/>
              </w:rPr>
            </w:pPr>
          </w:p>
        </w:tc>
        <w:tc>
          <w:tcPr>
            <w:tcW w:w="259" w:type="pct"/>
          </w:tcPr>
          <w:p w14:paraId="1E5656D2" w14:textId="77777777" w:rsidR="006257D5" w:rsidRPr="00ED75F9" w:rsidRDefault="006257D5" w:rsidP="006257D5">
            <w:pPr>
              <w:rPr>
                <w:rFonts w:asciiTheme="minorHAnsi" w:hAnsiTheme="minorHAnsi" w:cstheme="minorHAnsi"/>
                <w:szCs w:val="22"/>
                <w:lang w:val="en-GB"/>
              </w:rPr>
            </w:pPr>
            <w:r>
              <w:t>4.2.5</w:t>
            </w:r>
          </w:p>
        </w:tc>
        <w:tc>
          <w:tcPr>
            <w:tcW w:w="1336" w:type="pct"/>
          </w:tcPr>
          <w:p w14:paraId="714D81F7" w14:textId="16A43D95" w:rsidR="006257D5" w:rsidRPr="00155900" w:rsidRDefault="006257D5" w:rsidP="00AE6D6C">
            <w:pPr>
              <w:pStyle w:val="Listanumrerad"/>
              <w:numPr>
                <w:ilvl w:val="0"/>
                <w:numId w:val="0"/>
              </w:numPr>
              <w:rPr>
                <w:rFonts w:asciiTheme="minorHAnsi" w:hAnsiTheme="minorHAnsi" w:cstheme="minorHAnsi"/>
                <w:lang w:val="fi-FI"/>
              </w:rPr>
            </w:pPr>
            <w:r w:rsidRPr="003D2B2A">
              <w:rPr>
                <w:rFonts w:asciiTheme="minorHAnsi" w:hAnsiTheme="minorHAnsi" w:cstheme="minorHAnsi"/>
                <w:lang w:val="fi-FI"/>
              </w:rPr>
              <w:t xml:space="preserve">Edellä esitetyn johdosta hallitukset arvioivat, että Sulautumisella ei ole haitallisia seurauksia työntekijöille ja että Sulautuminen ei vaikuta heidän työsuhteidensa ehtoihin haitallisesti, ottaen huomioon, </w:t>
            </w:r>
            <w:r w:rsidRPr="00761F85">
              <w:rPr>
                <w:rFonts w:asciiTheme="minorHAnsi" w:hAnsiTheme="minorHAnsi" w:cstheme="minorHAnsi"/>
                <w:lang w:val="fi-FI"/>
              </w:rPr>
              <w:t xml:space="preserve">että he tulevat olemaan </w:t>
            </w:r>
            <w:r w:rsidR="003E01D5">
              <w:rPr>
                <w:rFonts w:asciiTheme="minorHAnsi" w:hAnsiTheme="minorHAnsi" w:cstheme="minorHAnsi"/>
                <w:lang w:val="fi-FI"/>
              </w:rPr>
              <w:t xml:space="preserve">Sulautuneen </w:t>
            </w:r>
            <w:r w:rsidRPr="00761F85">
              <w:rPr>
                <w:rFonts w:asciiTheme="minorHAnsi" w:hAnsiTheme="minorHAnsi" w:cstheme="minorHAnsi"/>
                <w:lang w:val="fi-FI"/>
              </w:rPr>
              <w:t>Yhtiön työntekijöitä</w:t>
            </w:r>
            <w:r w:rsidR="00154C71">
              <w:rPr>
                <w:rFonts w:asciiTheme="minorHAnsi" w:hAnsiTheme="minorHAnsi" w:cstheme="minorHAnsi"/>
                <w:lang w:val="fi-FI"/>
              </w:rPr>
              <w:t>, mukaan lukien</w:t>
            </w:r>
            <w:r w:rsidRPr="00761F85">
              <w:rPr>
                <w:rFonts w:asciiTheme="minorHAnsi" w:hAnsiTheme="minorHAnsi" w:cstheme="minorHAnsi"/>
                <w:lang w:val="fi-FI"/>
              </w:rPr>
              <w:t xml:space="preserve"> Sivuliikke</w:t>
            </w:r>
            <w:r w:rsidR="00154C71">
              <w:rPr>
                <w:rFonts w:asciiTheme="minorHAnsi" w:hAnsiTheme="minorHAnsi" w:cstheme="minorHAnsi"/>
                <w:lang w:val="fi-FI"/>
              </w:rPr>
              <w:t>ide</w:t>
            </w:r>
            <w:r w:rsidRPr="00761F85">
              <w:rPr>
                <w:rFonts w:asciiTheme="minorHAnsi" w:hAnsiTheme="minorHAnsi" w:cstheme="minorHAnsi"/>
                <w:lang w:val="fi-FI"/>
              </w:rPr>
              <w:t>n kautta.</w:t>
            </w:r>
          </w:p>
        </w:tc>
      </w:tr>
      <w:tr w:rsidR="00D56D80" w14:paraId="32725ED3" w14:textId="77777777" w:rsidTr="00317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8" w:type="pct"/>
            <w:tcBorders>
              <w:top w:val="nil"/>
              <w:left w:val="nil"/>
              <w:bottom w:val="nil"/>
              <w:right w:val="nil"/>
            </w:tcBorders>
          </w:tcPr>
          <w:p w14:paraId="143D190D" w14:textId="77777777" w:rsidR="00F415E9" w:rsidRDefault="00F415E9" w:rsidP="004364FB">
            <w:pPr>
              <w:keepNext/>
              <w:spacing w:after="60"/>
              <w:rPr>
                <w:rFonts w:asciiTheme="minorHAnsi" w:hAnsiTheme="minorHAnsi" w:cstheme="minorHAnsi"/>
                <w:b/>
                <w:szCs w:val="22"/>
              </w:rPr>
            </w:pPr>
            <w:r>
              <w:rPr>
                <w:rFonts w:asciiTheme="majorHAnsi" w:hAnsiTheme="majorHAnsi" w:cstheme="majorHAnsi"/>
                <w:b/>
                <w:szCs w:val="22"/>
              </w:rPr>
              <w:lastRenderedPageBreak/>
              <w:t>5.</w:t>
            </w:r>
          </w:p>
        </w:tc>
        <w:tc>
          <w:tcPr>
            <w:tcW w:w="1341" w:type="pct"/>
            <w:tcBorders>
              <w:top w:val="nil"/>
              <w:left w:val="nil"/>
              <w:bottom w:val="nil"/>
              <w:right w:val="nil"/>
            </w:tcBorders>
          </w:tcPr>
          <w:p w14:paraId="06F6BEE0" w14:textId="77777777" w:rsidR="00F415E9" w:rsidRDefault="00F415E9" w:rsidP="004364FB">
            <w:pPr>
              <w:keepNext/>
              <w:spacing w:after="60"/>
              <w:rPr>
                <w:rFonts w:asciiTheme="majorHAnsi" w:hAnsiTheme="majorHAnsi" w:cstheme="majorHAnsi"/>
                <w:b/>
                <w:szCs w:val="22"/>
              </w:rPr>
            </w:pPr>
            <w:r>
              <w:rPr>
                <w:rFonts w:asciiTheme="majorHAnsi" w:hAnsiTheme="majorHAnsi" w:cstheme="majorHAnsi"/>
                <w:b/>
                <w:szCs w:val="22"/>
              </w:rPr>
              <w:t>Fusionsv</w:t>
            </w:r>
            <w:r w:rsidRPr="007562C2">
              <w:rPr>
                <w:rFonts w:asciiTheme="majorHAnsi" w:hAnsiTheme="majorHAnsi" w:cstheme="majorHAnsi"/>
                <w:b/>
                <w:szCs w:val="22"/>
              </w:rPr>
              <w:t>ederlag</w:t>
            </w:r>
          </w:p>
        </w:tc>
        <w:tc>
          <w:tcPr>
            <w:tcW w:w="103" w:type="pct"/>
            <w:tcBorders>
              <w:top w:val="nil"/>
              <w:left w:val="nil"/>
              <w:bottom w:val="nil"/>
              <w:right w:val="nil"/>
            </w:tcBorders>
          </w:tcPr>
          <w:p w14:paraId="43053EDD" w14:textId="77777777" w:rsidR="00F415E9" w:rsidRDefault="00F415E9" w:rsidP="004364FB">
            <w:pPr>
              <w:keepNext/>
              <w:spacing w:after="60"/>
              <w:jc w:val="right"/>
              <w:rPr>
                <w:szCs w:val="22"/>
              </w:rPr>
            </w:pPr>
          </w:p>
        </w:tc>
        <w:tc>
          <w:tcPr>
            <w:tcW w:w="258" w:type="pct"/>
            <w:tcBorders>
              <w:top w:val="nil"/>
              <w:left w:val="nil"/>
              <w:bottom w:val="nil"/>
              <w:right w:val="nil"/>
            </w:tcBorders>
          </w:tcPr>
          <w:p w14:paraId="3B49738F" w14:textId="77777777" w:rsidR="00F415E9" w:rsidRDefault="00F415E9" w:rsidP="004364FB">
            <w:pPr>
              <w:keepNext/>
              <w:spacing w:after="60"/>
              <w:rPr>
                <w:szCs w:val="22"/>
                <w:lang w:val="en-GB"/>
              </w:rPr>
            </w:pPr>
            <w:r>
              <w:rPr>
                <w:rFonts w:asciiTheme="majorHAnsi" w:hAnsiTheme="majorHAnsi" w:cstheme="majorHAnsi"/>
                <w:b/>
                <w:szCs w:val="22"/>
              </w:rPr>
              <w:t>5.</w:t>
            </w:r>
          </w:p>
        </w:tc>
        <w:tc>
          <w:tcPr>
            <w:tcW w:w="1342" w:type="pct"/>
            <w:tcBorders>
              <w:top w:val="nil"/>
              <w:left w:val="nil"/>
              <w:bottom w:val="nil"/>
              <w:right w:val="nil"/>
            </w:tcBorders>
          </w:tcPr>
          <w:p w14:paraId="0BE31589" w14:textId="77777777" w:rsidR="00F415E9" w:rsidRDefault="00F415E9" w:rsidP="004364FB">
            <w:pPr>
              <w:pStyle w:val="Listanumrerad"/>
              <w:keepNext/>
              <w:numPr>
                <w:ilvl w:val="0"/>
                <w:numId w:val="0"/>
              </w:numPr>
              <w:spacing w:after="60"/>
              <w:rPr>
                <w:szCs w:val="22"/>
                <w:lang w:val="en-GB"/>
              </w:rPr>
            </w:pPr>
            <w:r>
              <w:rPr>
                <w:rFonts w:asciiTheme="majorHAnsi" w:hAnsiTheme="majorHAnsi" w:cstheme="majorHAnsi"/>
                <w:b/>
                <w:szCs w:val="22"/>
                <w:lang w:val="en-GB"/>
              </w:rPr>
              <w:t xml:space="preserve">Merger </w:t>
            </w:r>
            <w:r w:rsidRPr="007562C2">
              <w:rPr>
                <w:rFonts w:asciiTheme="majorHAnsi" w:hAnsiTheme="majorHAnsi" w:cstheme="majorHAnsi"/>
                <w:b/>
                <w:szCs w:val="22"/>
                <w:lang w:val="en-GB"/>
              </w:rPr>
              <w:t>Consideration</w:t>
            </w:r>
          </w:p>
        </w:tc>
        <w:tc>
          <w:tcPr>
            <w:tcW w:w="103" w:type="pct"/>
            <w:tcBorders>
              <w:top w:val="nil"/>
              <w:left w:val="nil"/>
              <w:bottom w:val="nil"/>
              <w:right w:val="nil"/>
            </w:tcBorders>
          </w:tcPr>
          <w:p w14:paraId="21BDE16B" w14:textId="77777777" w:rsidR="00F415E9" w:rsidRDefault="00F415E9" w:rsidP="004364FB">
            <w:pPr>
              <w:pStyle w:val="Listanumrerad"/>
              <w:keepNext/>
              <w:numPr>
                <w:ilvl w:val="0"/>
                <w:numId w:val="0"/>
              </w:numPr>
              <w:spacing w:after="60"/>
              <w:rPr>
                <w:rFonts w:asciiTheme="majorHAnsi" w:hAnsiTheme="majorHAnsi" w:cstheme="majorHAnsi"/>
                <w:b/>
                <w:szCs w:val="22"/>
                <w:lang w:val="en-GB"/>
              </w:rPr>
            </w:pPr>
          </w:p>
        </w:tc>
        <w:tc>
          <w:tcPr>
            <w:tcW w:w="259" w:type="pct"/>
            <w:tcBorders>
              <w:top w:val="nil"/>
              <w:left w:val="nil"/>
              <w:bottom w:val="nil"/>
              <w:right w:val="nil"/>
            </w:tcBorders>
          </w:tcPr>
          <w:p w14:paraId="0C7D85A3" w14:textId="77777777" w:rsidR="00F415E9" w:rsidRPr="00ED75F9" w:rsidRDefault="00F415E9" w:rsidP="004364FB">
            <w:pPr>
              <w:pStyle w:val="Listanumrerad"/>
              <w:keepNext/>
              <w:numPr>
                <w:ilvl w:val="0"/>
                <w:numId w:val="0"/>
              </w:numPr>
              <w:spacing w:after="60"/>
              <w:rPr>
                <w:rFonts w:asciiTheme="minorHAnsi" w:hAnsiTheme="minorHAnsi" w:cstheme="minorHAnsi"/>
                <w:b/>
                <w:szCs w:val="22"/>
                <w:lang w:val="en-GB"/>
              </w:rPr>
            </w:pPr>
            <w:r>
              <w:rPr>
                <w:rFonts w:asciiTheme="majorHAnsi" w:hAnsiTheme="majorHAnsi" w:cstheme="majorHAnsi"/>
                <w:b/>
                <w:szCs w:val="22"/>
              </w:rPr>
              <w:t>5.</w:t>
            </w:r>
          </w:p>
        </w:tc>
        <w:tc>
          <w:tcPr>
            <w:tcW w:w="1336" w:type="pct"/>
            <w:tcBorders>
              <w:top w:val="nil"/>
              <w:left w:val="nil"/>
              <w:bottom w:val="nil"/>
              <w:right w:val="nil"/>
            </w:tcBorders>
          </w:tcPr>
          <w:p w14:paraId="467C87CB" w14:textId="77777777" w:rsidR="00F415E9" w:rsidRDefault="00F415E9" w:rsidP="004364FB">
            <w:pPr>
              <w:pStyle w:val="Listanumrerad"/>
              <w:keepNext/>
              <w:numPr>
                <w:ilvl w:val="0"/>
                <w:numId w:val="0"/>
              </w:numPr>
              <w:spacing w:after="60"/>
              <w:rPr>
                <w:szCs w:val="22"/>
                <w:lang w:val="en-GB"/>
              </w:rPr>
            </w:pPr>
            <w:r>
              <w:rPr>
                <w:rFonts w:asciiTheme="majorHAnsi" w:hAnsiTheme="majorHAnsi" w:cstheme="majorHAnsi"/>
                <w:b/>
                <w:szCs w:val="22"/>
                <w:lang w:val="en-GB"/>
              </w:rPr>
              <w:t>Sulautumisvastike</w:t>
            </w:r>
          </w:p>
        </w:tc>
      </w:tr>
      <w:tr w:rsidR="00D56D80" w:rsidRPr="004F6A14" w14:paraId="19DC8040" w14:textId="77777777" w:rsidTr="00317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8" w:type="pct"/>
            <w:tcBorders>
              <w:top w:val="nil"/>
              <w:left w:val="nil"/>
              <w:bottom w:val="nil"/>
              <w:right w:val="nil"/>
            </w:tcBorders>
          </w:tcPr>
          <w:p w14:paraId="68AC8397" w14:textId="77777777" w:rsidR="00F415E9" w:rsidRPr="00851CFD" w:rsidRDefault="00F415E9" w:rsidP="0051120A">
            <w:pPr>
              <w:widowControl w:val="0"/>
              <w:rPr>
                <w:rFonts w:asciiTheme="minorHAnsi" w:hAnsiTheme="minorHAnsi" w:cstheme="minorHAnsi"/>
                <w:szCs w:val="22"/>
              </w:rPr>
            </w:pPr>
            <w:r>
              <w:rPr>
                <w:rFonts w:asciiTheme="minorHAnsi" w:hAnsiTheme="minorHAnsi" w:cstheme="minorHAnsi"/>
                <w:szCs w:val="22"/>
              </w:rPr>
              <w:t>5.1</w:t>
            </w:r>
          </w:p>
        </w:tc>
        <w:tc>
          <w:tcPr>
            <w:tcW w:w="1341" w:type="pct"/>
            <w:tcBorders>
              <w:top w:val="nil"/>
              <w:left w:val="nil"/>
              <w:bottom w:val="nil"/>
              <w:right w:val="nil"/>
            </w:tcBorders>
          </w:tcPr>
          <w:p w14:paraId="3D4127E0" w14:textId="718D05A0" w:rsidR="00F415E9" w:rsidRPr="00851CFD" w:rsidRDefault="00F415E9" w:rsidP="0051120A">
            <w:pPr>
              <w:widowControl w:val="0"/>
              <w:rPr>
                <w:rFonts w:asciiTheme="minorHAnsi" w:hAnsiTheme="minorHAnsi" w:cstheme="minorHAnsi"/>
                <w:szCs w:val="22"/>
              </w:rPr>
            </w:pPr>
            <w:r>
              <w:rPr>
                <w:rFonts w:asciiTheme="minorHAnsi" w:hAnsiTheme="minorHAnsi" w:cstheme="minorHAnsi"/>
                <w:szCs w:val="22"/>
              </w:rPr>
              <w:t>Aktieägarna i det Överlåtande Bolaget ska som fusionsvederlag erhålla en (1) ny aktie i det Övertagande Bolaget för varje aktie som de äger i det Överlåtande Bolaget (”</w:t>
            </w:r>
            <w:r>
              <w:rPr>
                <w:rFonts w:asciiTheme="minorHAnsi" w:hAnsiTheme="minorHAnsi" w:cstheme="minorHAnsi"/>
                <w:b/>
                <w:szCs w:val="22"/>
              </w:rPr>
              <w:t>Fusionsvederlaget</w:t>
            </w:r>
            <w:r w:rsidR="000C5A9A">
              <w:rPr>
                <w:rFonts w:asciiTheme="minorHAnsi" w:hAnsiTheme="minorHAnsi" w:cstheme="minorHAnsi"/>
                <w:szCs w:val="22"/>
              </w:rPr>
              <w:t>”). Det </w:t>
            </w:r>
            <w:r>
              <w:rPr>
                <w:rFonts w:asciiTheme="minorHAnsi" w:hAnsiTheme="minorHAnsi" w:cstheme="minorHAnsi"/>
                <w:szCs w:val="22"/>
              </w:rPr>
              <w:t>innebär att Fusionsvederlaget ska lämnas till aktieägarna i det Överlåtande Bolaget i proportion till deras befintliga aktie</w:t>
            </w:r>
            <w:r>
              <w:rPr>
                <w:rFonts w:asciiTheme="minorHAnsi" w:hAnsiTheme="minorHAnsi" w:cstheme="minorHAnsi"/>
                <w:szCs w:val="22"/>
              </w:rPr>
              <w:softHyphen/>
              <w:t xml:space="preserve">innehav, med ett utbytesförhållande om 1:1. </w:t>
            </w:r>
            <w:r w:rsidRPr="003B4006">
              <w:rPr>
                <w:rFonts w:asciiTheme="minorHAnsi" w:hAnsiTheme="minorHAnsi" w:cstheme="minorHAnsi"/>
                <w:szCs w:val="22"/>
              </w:rPr>
              <w:t>Utbytes</w:t>
            </w:r>
            <w:r w:rsidR="000C5A9A">
              <w:rPr>
                <w:rFonts w:asciiTheme="minorHAnsi" w:hAnsiTheme="minorHAnsi" w:cstheme="minorHAnsi"/>
                <w:szCs w:val="22"/>
              </w:rPr>
              <w:softHyphen/>
            </w:r>
            <w:r>
              <w:rPr>
                <w:rFonts w:asciiTheme="minorHAnsi" w:hAnsiTheme="minorHAnsi" w:cstheme="minorHAnsi"/>
                <w:szCs w:val="22"/>
              </w:rPr>
              <w:t xml:space="preserve">förhållandet </w:t>
            </w:r>
            <w:r w:rsidRPr="003B4006">
              <w:rPr>
                <w:rFonts w:asciiTheme="minorHAnsi" w:hAnsiTheme="minorHAnsi" w:cstheme="minorHAnsi"/>
                <w:szCs w:val="22"/>
              </w:rPr>
              <w:t>har bestämts mot bak</w:t>
            </w:r>
            <w:r w:rsidR="000C5A9A">
              <w:rPr>
                <w:rFonts w:asciiTheme="minorHAnsi" w:hAnsiTheme="minorHAnsi" w:cstheme="minorHAnsi"/>
                <w:szCs w:val="22"/>
              </w:rPr>
              <w:softHyphen/>
            </w:r>
            <w:r w:rsidRPr="003B4006">
              <w:rPr>
                <w:rFonts w:asciiTheme="minorHAnsi" w:hAnsiTheme="minorHAnsi" w:cstheme="minorHAnsi"/>
                <w:szCs w:val="22"/>
              </w:rPr>
              <w:t>grund av att det</w:t>
            </w:r>
            <w:r>
              <w:rPr>
                <w:rFonts w:asciiTheme="minorHAnsi" w:hAnsiTheme="minorHAnsi" w:cstheme="minorHAnsi"/>
                <w:szCs w:val="22"/>
              </w:rPr>
              <w:t xml:space="preserve"> Övertagande Bolaget </w:t>
            </w:r>
            <w:r w:rsidRPr="003B4006">
              <w:rPr>
                <w:rFonts w:asciiTheme="minorHAnsi" w:hAnsiTheme="minorHAnsi" w:cstheme="minorHAnsi"/>
                <w:szCs w:val="22"/>
              </w:rPr>
              <w:t xml:space="preserve">är ett helägt dotterbolag till </w:t>
            </w:r>
            <w:r>
              <w:rPr>
                <w:rFonts w:asciiTheme="minorHAnsi" w:hAnsiTheme="minorHAnsi" w:cstheme="minorHAnsi"/>
                <w:szCs w:val="22"/>
              </w:rPr>
              <w:t>det Överlåtande Bolaget</w:t>
            </w:r>
            <w:r w:rsidRPr="003B4006">
              <w:rPr>
                <w:rFonts w:asciiTheme="minorHAnsi" w:hAnsiTheme="minorHAnsi" w:cstheme="minorHAnsi"/>
                <w:szCs w:val="22"/>
              </w:rPr>
              <w:t xml:space="preserve">, </w:t>
            </w:r>
            <w:r>
              <w:rPr>
                <w:rFonts w:asciiTheme="minorHAnsi" w:hAnsiTheme="minorHAnsi" w:cstheme="minorHAnsi"/>
                <w:szCs w:val="22"/>
              </w:rPr>
              <w:t xml:space="preserve">utan någon egen </w:t>
            </w:r>
            <w:r w:rsidRPr="003B4006">
              <w:rPr>
                <w:rFonts w:asciiTheme="minorHAnsi" w:hAnsiTheme="minorHAnsi" w:cstheme="minorHAnsi"/>
                <w:szCs w:val="22"/>
              </w:rPr>
              <w:t>verksamhet</w:t>
            </w:r>
            <w:r>
              <w:rPr>
                <w:rFonts w:asciiTheme="minorHAnsi" w:hAnsiTheme="minorHAnsi" w:cstheme="minorHAnsi"/>
                <w:szCs w:val="22"/>
              </w:rPr>
              <w:t>, varför</w:t>
            </w:r>
            <w:r w:rsidRPr="003B4006">
              <w:rPr>
                <w:rFonts w:asciiTheme="minorHAnsi" w:hAnsiTheme="minorHAnsi" w:cstheme="minorHAnsi"/>
                <w:szCs w:val="22"/>
              </w:rPr>
              <w:t xml:space="preserve"> värdet på samtliga aktier i </w:t>
            </w:r>
            <w:r>
              <w:rPr>
                <w:rFonts w:asciiTheme="minorHAnsi" w:hAnsiTheme="minorHAnsi" w:cstheme="minorHAnsi"/>
                <w:szCs w:val="22"/>
              </w:rPr>
              <w:t xml:space="preserve">det Övertagande Bolaget efter Fusionen </w:t>
            </w:r>
            <w:r w:rsidRPr="003B4006">
              <w:rPr>
                <w:rFonts w:asciiTheme="minorHAnsi" w:hAnsiTheme="minorHAnsi" w:cstheme="minorHAnsi"/>
                <w:szCs w:val="22"/>
              </w:rPr>
              <w:t xml:space="preserve">återspeglar värdet på samtliga aktier i </w:t>
            </w:r>
            <w:r>
              <w:rPr>
                <w:rFonts w:asciiTheme="minorHAnsi" w:hAnsiTheme="minorHAnsi" w:cstheme="minorHAnsi"/>
                <w:szCs w:val="22"/>
              </w:rPr>
              <w:t>det Överlåtande Bolaget. Det har mot ovanstående bakgrund inte förekommit några särskilda svårigheter vid bestämmandet av Fusionsvederlaget.</w:t>
            </w:r>
          </w:p>
        </w:tc>
        <w:tc>
          <w:tcPr>
            <w:tcW w:w="103" w:type="pct"/>
            <w:tcBorders>
              <w:top w:val="nil"/>
              <w:left w:val="nil"/>
              <w:bottom w:val="nil"/>
              <w:right w:val="nil"/>
            </w:tcBorders>
          </w:tcPr>
          <w:p w14:paraId="07A3850F" w14:textId="77777777" w:rsidR="00F415E9" w:rsidRPr="00851CFD" w:rsidRDefault="00F415E9" w:rsidP="0051120A">
            <w:pPr>
              <w:widowControl w:val="0"/>
              <w:jc w:val="right"/>
              <w:rPr>
                <w:szCs w:val="22"/>
              </w:rPr>
            </w:pPr>
          </w:p>
        </w:tc>
        <w:tc>
          <w:tcPr>
            <w:tcW w:w="258" w:type="pct"/>
            <w:tcBorders>
              <w:top w:val="nil"/>
              <w:left w:val="nil"/>
              <w:bottom w:val="nil"/>
              <w:right w:val="nil"/>
            </w:tcBorders>
          </w:tcPr>
          <w:p w14:paraId="27344B45" w14:textId="77777777" w:rsidR="00F415E9" w:rsidRPr="00851CFD" w:rsidRDefault="00F415E9" w:rsidP="0051120A">
            <w:pPr>
              <w:widowControl w:val="0"/>
              <w:rPr>
                <w:rFonts w:asciiTheme="minorHAnsi" w:hAnsiTheme="minorHAnsi" w:cstheme="minorHAnsi"/>
                <w:szCs w:val="22"/>
              </w:rPr>
            </w:pPr>
            <w:r>
              <w:rPr>
                <w:rFonts w:asciiTheme="minorHAnsi" w:hAnsiTheme="minorHAnsi" w:cstheme="minorHAnsi"/>
                <w:szCs w:val="22"/>
              </w:rPr>
              <w:t>5.1</w:t>
            </w:r>
          </w:p>
        </w:tc>
        <w:tc>
          <w:tcPr>
            <w:tcW w:w="1342" w:type="pct"/>
            <w:tcBorders>
              <w:top w:val="nil"/>
              <w:left w:val="nil"/>
              <w:bottom w:val="nil"/>
              <w:right w:val="nil"/>
            </w:tcBorders>
          </w:tcPr>
          <w:p w14:paraId="1C386019" w14:textId="6FC9A57F" w:rsidR="00F415E9" w:rsidRPr="00703330" w:rsidRDefault="00F415E9" w:rsidP="0051120A">
            <w:pPr>
              <w:pStyle w:val="Listanumrerad"/>
              <w:widowControl w:val="0"/>
              <w:numPr>
                <w:ilvl w:val="0"/>
                <w:numId w:val="0"/>
              </w:numPr>
              <w:rPr>
                <w:rFonts w:asciiTheme="minorHAnsi" w:hAnsiTheme="minorHAnsi" w:cstheme="minorHAnsi"/>
                <w:szCs w:val="22"/>
                <w:lang w:val="en-GB"/>
              </w:rPr>
            </w:pPr>
            <w:r w:rsidRPr="00B91393">
              <w:rPr>
                <w:rFonts w:asciiTheme="minorHAnsi" w:hAnsiTheme="minorHAnsi" w:cstheme="minorHAnsi"/>
                <w:szCs w:val="22"/>
                <w:lang w:val="en-GB"/>
              </w:rPr>
              <w:t>The shareholders of the Transfero</w:t>
            </w:r>
            <w:r w:rsidRPr="005C6AB1">
              <w:rPr>
                <w:rFonts w:asciiTheme="minorHAnsi" w:hAnsiTheme="minorHAnsi" w:cstheme="minorHAnsi"/>
                <w:szCs w:val="22"/>
                <w:lang w:val="en-GB"/>
              </w:rPr>
              <w:t xml:space="preserve">r Company shall receive as merger consideration one (1) new share </w:t>
            </w:r>
            <w:r>
              <w:rPr>
                <w:rFonts w:asciiTheme="minorHAnsi" w:hAnsiTheme="minorHAnsi" w:cstheme="minorHAnsi"/>
                <w:szCs w:val="22"/>
                <w:lang w:val="en-GB"/>
              </w:rPr>
              <w:t>of</w:t>
            </w:r>
            <w:r w:rsidRPr="005C6AB1">
              <w:rPr>
                <w:rFonts w:asciiTheme="minorHAnsi" w:hAnsiTheme="minorHAnsi" w:cstheme="minorHAnsi"/>
                <w:szCs w:val="22"/>
                <w:lang w:val="en-GB"/>
              </w:rPr>
              <w:t xml:space="preserve"> the Transferee Company for each share owned in the Transferor Company (the “</w:t>
            </w:r>
            <w:r w:rsidRPr="00074F5D">
              <w:rPr>
                <w:rFonts w:asciiTheme="minorHAnsi" w:hAnsiTheme="minorHAnsi" w:cstheme="minorHAnsi"/>
                <w:b/>
                <w:szCs w:val="22"/>
                <w:lang w:val="en-GB"/>
              </w:rPr>
              <w:t>Merger Consideration</w:t>
            </w:r>
            <w:r>
              <w:rPr>
                <w:rFonts w:asciiTheme="minorHAnsi" w:hAnsiTheme="minorHAnsi" w:cstheme="minorHAnsi"/>
                <w:szCs w:val="22"/>
                <w:lang w:val="en-GB"/>
              </w:rPr>
              <w:t xml:space="preserve">”). This means that </w:t>
            </w:r>
            <w:r w:rsidRPr="005C6AB1">
              <w:rPr>
                <w:rFonts w:asciiTheme="minorHAnsi" w:hAnsiTheme="minorHAnsi" w:cstheme="minorHAnsi"/>
                <w:szCs w:val="22"/>
                <w:lang w:val="en-GB"/>
              </w:rPr>
              <w:t xml:space="preserve">the Merger Consideration shall be issued to the shareholders of the </w:t>
            </w:r>
            <w:r>
              <w:rPr>
                <w:rFonts w:asciiTheme="minorHAnsi" w:hAnsiTheme="minorHAnsi" w:cstheme="minorHAnsi"/>
                <w:szCs w:val="22"/>
                <w:lang w:val="en-GB"/>
              </w:rPr>
              <w:t xml:space="preserve">Transferor </w:t>
            </w:r>
            <w:r w:rsidRPr="005C6AB1">
              <w:rPr>
                <w:rFonts w:asciiTheme="minorHAnsi" w:hAnsiTheme="minorHAnsi" w:cstheme="minorHAnsi"/>
                <w:szCs w:val="22"/>
                <w:lang w:val="en-GB"/>
              </w:rPr>
              <w:t xml:space="preserve">Company </w:t>
            </w:r>
            <w:r>
              <w:rPr>
                <w:rFonts w:asciiTheme="minorHAnsi" w:hAnsiTheme="minorHAnsi" w:cstheme="minorHAnsi"/>
                <w:szCs w:val="22"/>
                <w:lang w:val="en-GB"/>
              </w:rPr>
              <w:t xml:space="preserve">in </w:t>
            </w:r>
            <w:r w:rsidRPr="005C6AB1">
              <w:rPr>
                <w:rFonts w:asciiTheme="minorHAnsi" w:hAnsiTheme="minorHAnsi" w:cstheme="minorHAnsi"/>
                <w:szCs w:val="22"/>
                <w:lang w:val="en-GB"/>
              </w:rPr>
              <w:t>proportion to their</w:t>
            </w:r>
            <w:r>
              <w:rPr>
                <w:rFonts w:asciiTheme="minorHAnsi" w:hAnsiTheme="minorHAnsi" w:cstheme="minorHAnsi"/>
                <w:szCs w:val="22"/>
                <w:lang w:val="en-GB"/>
              </w:rPr>
              <w:t xml:space="preserve"> </w:t>
            </w:r>
            <w:r w:rsidRPr="005C6AB1">
              <w:rPr>
                <w:rFonts w:asciiTheme="minorHAnsi" w:hAnsiTheme="minorHAnsi" w:cstheme="minorHAnsi"/>
                <w:szCs w:val="22"/>
                <w:lang w:val="en-GB"/>
              </w:rPr>
              <w:t>existing</w:t>
            </w:r>
            <w:r>
              <w:rPr>
                <w:rFonts w:asciiTheme="minorHAnsi" w:hAnsiTheme="minorHAnsi" w:cstheme="minorHAnsi"/>
                <w:szCs w:val="22"/>
                <w:lang w:val="en-GB"/>
              </w:rPr>
              <w:t xml:space="preserve"> shareholding, </w:t>
            </w:r>
            <w:r w:rsidRPr="005C6AB1">
              <w:rPr>
                <w:rFonts w:asciiTheme="minorHAnsi" w:hAnsiTheme="minorHAnsi" w:cstheme="minorHAnsi"/>
                <w:szCs w:val="22"/>
                <w:lang w:val="en-GB"/>
              </w:rPr>
              <w:t>with a</w:t>
            </w:r>
            <w:r>
              <w:rPr>
                <w:rFonts w:asciiTheme="minorHAnsi" w:hAnsiTheme="minorHAnsi" w:cstheme="minorHAnsi"/>
                <w:szCs w:val="22"/>
                <w:lang w:val="en-GB"/>
              </w:rPr>
              <w:t>n exchange</w:t>
            </w:r>
            <w:r w:rsidRPr="005C6AB1">
              <w:rPr>
                <w:rFonts w:asciiTheme="minorHAnsi" w:hAnsiTheme="minorHAnsi" w:cstheme="minorHAnsi"/>
                <w:szCs w:val="22"/>
                <w:lang w:val="en-GB"/>
              </w:rPr>
              <w:t xml:space="preserve"> ratio of 1:1. </w:t>
            </w:r>
            <w:r>
              <w:rPr>
                <w:szCs w:val="22"/>
                <w:lang w:val="en-GB"/>
              </w:rPr>
              <w:t>The exchange ratio has been determined against the fact that the Transferee Company is a wholly owned subsidiary of the Transferor Company, without any operations of its own, which means that the value of all shares of the Transferee Company after the Merger reflects the value of all shares of the Transferor Company. In the light of the above, t</w:t>
            </w:r>
            <w:r w:rsidRPr="00FA732D">
              <w:rPr>
                <w:szCs w:val="22"/>
                <w:lang w:val="en-GB"/>
              </w:rPr>
              <w:t xml:space="preserve">here have been no particular difficulties in determining the </w:t>
            </w:r>
            <w:r>
              <w:rPr>
                <w:szCs w:val="22"/>
                <w:lang w:val="en-GB"/>
              </w:rPr>
              <w:t>Merger C</w:t>
            </w:r>
            <w:r w:rsidRPr="00FA732D">
              <w:rPr>
                <w:szCs w:val="22"/>
                <w:lang w:val="en-GB"/>
              </w:rPr>
              <w:t>onsideration.</w:t>
            </w:r>
          </w:p>
        </w:tc>
        <w:tc>
          <w:tcPr>
            <w:tcW w:w="103" w:type="pct"/>
            <w:tcBorders>
              <w:top w:val="nil"/>
              <w:left w:val="nil"/>
              <w:bottom w:val="nil"/>
              <w:right w:val="nil"/>
            </w:tcBorders>
          </w:tcPr>
          <w:p w14:paraId="39CB643E" w14:textId="77777777" w:rsidR="00F415E9" w:rsidRDefault="00F415E9" w:rsidP="0051120A">
            <w:pPr>
              <w:pStyle w:val="Listanumrerad"/>
              <w:widowControl w:val="0"/>
              <w:numPr>
                <w:ilvl w:val="0"/>
                <w:numId w:val="0"/>
              </w:numPr>
              <w:rPr>
                <w:rFonts w:asciiTheme="majorHAnsi" w:hAnsiTheme="majorHAnsi" w:cstheme="majorHAnsi"/>
                <w:b/>
                <w:szCs w:val="22"/>
                <w:lang w:val="en-GB"/>
              </w:rPr>
            </w:pPr>
          </w:p>
        </w:tc>
        <w:tc>
          <w:tcPr>
            <w:tcW w:w="259" w:type="pct"/>
            <w:tcBorders>
              <w:top w:val="nil"/>
              <w:left w:val="nil"/>
              <w:bottom w:val="nil"/>
              <w:right w:val="nil"/>
            </w:tcBorders>
          </w:tcPr>
          <w:p w14:paraId="4AD16B1A" w14:textId="77777777" w:rsidR="00F415E9" w:rsidRPr="00D75B2E" w:rsidRDefault="00F415E9" w:rsidP="0051120A">
            <w:pPr>
              <w:pStyle w:val="Listanumrerad"/>
              <w:widowControl w:val="0"/>
              <w:numPr>
                <w:ilvl w:val="0"/>
                <w:numId w:val="0"/>
              </w:numPr>
              <w:rPr>
                <w:rFonts w:asciiTheme="minorHAnsi" w:hAnsiTheme="minorHAnsi" w:cstheme="minorHAnsi"/>
                <w:szCs w:val="22"/>
                <w:lang w:val="en-US"/>
              </w:rPr>
            </w:pPr>
            <w:r>
              <w:rPr>
                <w:rFonts w:asciiTheme="minorHAnsi" w:hAnsiTheme="minorHAnsi" w:cstheme="minorHAnsi"/>
                <w:szCs w:val="22"/>
                <w:lang w:val="en-US"/>
              </w:rPr>
              <w:t>5</w:t>
            </w:r>
            <w:r w:rsidRPr="00D75B2E">
              <w:rPr>
                <w:rFonts w:asciiTheme="minorHAnsi" w:hAnsiTheme="minorHAnsi" w:cstheme="minorHAnsi"/>
                <w:szCs w:val="22"/>
                <w:lang w:val="en-US"/>
              </w:rPr>
              <w:t>.1</w:t>
            </w:r>
          </w:p>
        </w:tc>
        <w:tc>
          <w:tcPr>
            <w:tcW w:w="1336" w:type="pct"/>
            <w:tcBorders>
              <w:top w:val="nil"/>
              <w:left w:val="nil"/>
              <w:bottom w:val="nil"/>
              <w:right w:val="nil"/>
            </w:tcBorders>
          </w:tcPr>
          <w:p w14:paraId="5F069059" w14:textId="57F16793" w:rsidR="00F415E9" w:rsidRDefault="00F415E9" w:rsidP="0051120A">
            <w:pPr>
              <w:pStyle w:val="Listanumrerad"/>
              <w:widowControl w:val="0"/>
              <w:numPr>
                <w:ilvl w:val="0"/>
                <w:numId w:val="0"/>
              </w:numPr>
              <w:rPr>
                <w:rFonts w:asciiTheme="minorHAnsi" w:hAnsiTheme="minorHAnsi" w:cstheme="minorHAnsi"/>
                <w:szCs w:val="22"/>
                <w:lang w:val="fi-FI"/>
              </w:rPr>
            </w:pPr>
            <w:r w:rsidRPr="005C6AB1">
              <w:rPr>
                <w:rFonts w:asciiTheme="minorHAnsi" w:hAnsiTheme="minorHAnsi" w:cstheme="minorHAnsi"/>
                <w:szCs w:val="22"/>
                <w:lang w:val="fi-FI"/>
              </w:rPr>
              <w:t>Sulautuvan Yhtiön osakkeenomistajat saavat sulautumisvastikkeena yhden (1) Vastaanottavan Yhtiön uuden osakkeen jokaista omistamaansa Sulautuvan Yhtiön Osaketta kohden (</w:t>
            </w:r>
            <w:r>
              <w:rPr>
                <w:rFonts w:asciiTheme="minorHAnsi" w:hAnsiTheme="minorHAnsi" w:cstheme="minorHAnsi"/>
                <w:szCs w:val="22"/>
                <w:lang w:val="fi-FI"/>
              </w:rPr>
              <w:t>”</w:t>
            </w:r>
            <w:r w:rsidRPr="006E33C1">
              <w:rPr>
                <w:rFonts w:asciiTheme="minorHAnsi" w:hAnsiTheme="minorHAnsi" w:cstheme="minorHAnsi"/>
                <w:b/>
                <w:szCs w:val="22"/>
                <w:lang w:val="fi-FI"/>
              </w:rPr>
              <w:t>Sulautumisvastike</w:t>
            </w:r>
            <w:r w:rsidRPr="006E33C1">
              <w:rPr>
                <w:rFonts w:asciiTheme="minorHAnsi" w:hAnsiTheme="minorHAnsi" w:cstheme="minorHAnsi"/>
                <w:szCs w:val="22"/>
                <w:lang w:val="fi-FI"/>
              </w:rPr>
              <w:t>”</w:t>
            </w:r>
            <w:r w:rsidRPr="005C6AB1">
              <w:rPr>
                <w:rFonts w:asciiTheme="minorHAnsi" w:hAnsiTheme="minorHAnsi" w:cstheme="minorHAnsi"/>
                <w:szCs w:val="22"/>
                <w:lang w:val="fi-FI"/>
              </w:rPr>
              <w:t>)</w:t>
            </w:r>
            <w:r>
              <w:rPr>
                <w:rFonts w:asciiTheme="minorHAnsi" w:hAnsiTheme="minorHAnsi" w:cstheme="minorHAnsi"/>
                <w:szCs w:val="22"/>
                <w:lang w:val="fi-FI"/>
              </w:rPr>
              <w:t>. Tämä tarkoittaa, että</w:t>
            </w:r>
            <w:r w:rsidRPr="005C6AB1">
              <w:rPr>
                <w:rFonts w:asciiTheme="minorHAnsi" w:hAnsiTheme="minorHAnsi" w:cstheme="minorHAnsi"/>
                <w:szCs w:val="22"/>
                <w:lang w:val="fi-FI"/>
              </w:rPr>
              <w:t xml:space="preserve"> </w:t>
            </w:r>
            <w:r>
              <w:rPr>
                <w:rFonts w:asciiTheme="minorHAnsi" w:hAnsiTheme="minorHAnsi" w:cstheme="minorHAnsi"/>
                <w:szCs w:val="22"/>
                <w:lang w:val="fi-FI"/>
              </w:rPr>
              <w:t>S</w:t>
            </w:r>
            <w:r w:rsidRPr="005C6AB1">
              <w:rPr>
                <w:rFonts w:asciiTheme="minorHAnsi" w:hAnsiTheme="minorHAnsi" w:cstheme="minorHAnsi"/>
                <w:szCs w:val="22"/>
                <w:lang w:val="fi-FI"/>
              </w:rPr>
              <w:t xml:space="preserve">ulautumisvastike annetaan Sulautuvan Yhtiön osakkeenomistajille heidän osakeomistuksensa </w:t>
            </w:r>
            <w:r>
              <w:rPr>
                <w:rFonts w:asciiTheme="minorHAnsi" w:hAnsiTheme="minorHAnsi" w:cstheme="minorHAnsi"/>
                <w:szCs w:val="22"/>
                <w:lang w:val="fi-FI"/>
              </w:rPr>
              <w:t xml:space="preserve">mukaisessa </w:t>
            </w:r>
            <w:r w:rsidRPr="005C6AB1">
              <w:rPr>
                <w:rFonts w:asciiTheme="minorHAnsi" w:hAnsiTheme="minorHAnsi" w:cstheme="minorHAnsi"/>
                <w:szCs w:val="22"/>
                <w:lang w:val="fi-FI"/>
              </w:rPr>
              <w:t xml:space="preserve">suhteessa </w:t>
            </w:r>
            <w:r>
              <w:rPr>
                <w:rFonts w:asciiTheme="minorHAnsi" w:hAnsiTheme="minorHAnsi" w:cstheme="minorHAnsi"/>
                <w:szCs w:val="22"/>
                <w:lang w:val="fi-FI"/>
              </w:rPr>
              <w:t xml:space="preserve">vaihtosuhteella </w:t>
            </w:r>
            <w:r w:rsidRPr="005C6AB1">
              <w:rPr>
                <w:rFonts w:asciiTheme="minorHAnsi" w:hAnsiTheme="minorHAnsi" w:cstheme="minorHAnsi"/>
                <w:szCs w:val="22"/>
                <w:lang w:val="fi-FI"/>
              </w:rPr>
              <w:t xml:space="preserve">1:1. </w:t>
            </w:r>
            <w:r>
              <w:rPr>
                <w:rFonts w:asciiTheme="minorHAnsi" w:hAnsiTheme="minorHAnsi" w:cstheme="minorHAnsi"/>
                <w:szCs w:val="22"/>
                <w:lang w:val="fi-FI"/>
              </w:rPr>
              <w:t>Vaihtosuhde on määritetty sen perusteella, että Vastaanottava Yhtiö on Sulautuvan Yhtiön kokonaan omistama tytäryhtiö, jolla ei ole mitään omia liiketoimintoja, joten kaikkien Vastaanottavan Yhtiön osakkeiden arvo Sulautumisen jälkeen vastaa kaikkien Sulautuvan Yhtiön osakkeiden arvoa. Näin ollen Sulautumisvastikkeen määrittämisessä ei ole ollut erityisiä ongelmia.</w:t>
            </w:r>
          </w:p>
        </w:tc>
      </w:tr>
    </w:tbl>
    <w:p w14:paraId="25D0F4A2" w14:textId="77777777" w:rsidR="00317950" w:rsidRDefault="00317950">
      <w:r>
        <w:br w:type="page"/>
      </w:r>
    </w:p>
    <w:tbl>
      <w:tblPr>
        <w:tblStyle w:val="Tabellrutnt"/>
        <w:tblW w:w="13750" w:type="dxa"/>
        <w:tblInd w:w="250" w:type="dxa"/>
        <w:tblLayout w:type="fixed"/>
        <w:tblLook w:val="04A0" w:firstRow="1" w:lastRow="0" w:firstColumn="1" w:lastColumn="0" w:noHBand="0" w:noVBand="1"/>
      </w:tblPr>
      <w:tblGrid>
        <w:gridCol w:w="709"/>
        <w:gridCol w:w="3688"/>
        <w:gridCol w:w="283"/>
        <w:gridCol w:w="710"/>
        <w:gridCol w:w="3685"/>
        <w:gridCol w:w="283"/>
        <w:gridCol w:w="712"/>
        <w:gridCol w:w="3680"/>
      </w:tblGrid>
      <w:tr w:rsidR="00D56D80" w:rsidRPr="009F16AC" w14:paraId="4DA5B695" w14:textId="77777777" w:rsidTr="00317950">
        <w:tc>
          <w:tcPr>
            <w:tcW w:w="258" w:type="pct"/>
            <w:tcBorders>
              <w:top w:val="nil"/>
              <w:left w:val="nil"/>
              <w:bottom w:val="nil"/>
              <w:right w:val="nil"/>
            </w:tcBorders>
          </w:tcPr>
          <w:p w14:paraId="3B30C987" w14:textId="329C00A1" w:rsidR="00F415E9" w:rsidRPr="006E33C1" w:rsidRDefault="00F415E9" w:rsidP="0051120A">
            <w:pPr>
              <w:widowControl w:val="0"/>
              <w:rPr>
                <w:rFonts w:asciiTheme="minorHAnsi" w:hAnsiTheme="minorHAnsi" w:cstheme="minorHAnsi"/>
                <w:szCs w:val="22"/>
                <w:lang w:val="fi-FI"/>
              </w:rPr>
            </w:pPr>
            <w:r>
              <w:rPr>
                <w:rFonts w:asciiTheme="minorHAnsi" w:hAnsiTheme="minorHAnsi" w:cstheme="minorHAnsi"/>
                <w:szCs w:val="22"/>
                <w:lang w:val="fi-FI"/>
              </w:rPr>
              <w:lastRenderedPageBreak/>
              <w:t>5</w:t>
            </w:r>
            <w:r w:rsidRPr="006E33C1">
              <w:rPr>
                <w:rFonts w:asciiTheme="minorHAnsi" w:hAnsiTheme="minorHAnsi" w:cstheme="minorHAnsi"/>
                <w:szCs w:val="22"/>
                <w:lang w:val="fi-FI"/>
              </w:rPr>
              <w:t>.2</w:t>
            </w:r>
          </w:p>
        </w:tc>
        <w:tc>
          <w:tcPr>
            <w:tcW w:w="1341" w:type="pct"/>
            <w:tcBorders>
              <w:top w:val="nil"/>
              <w:left w:val="nil"/>
              <w:bottom w:val="nil"/>
              <w:right w:val="nil"/>
            </w:tcBorders>
          </w:tcPr>
          <w:p w14:paraId="59B0154F" w14:textId="77777777" w:rsidR="00F415E9" w:rsidRPr="005C6AB1" w:rsidRDefault="00F415E9" w:rsidP="0051120A">
            <w:pPr>
              <w:widowControl w:val="0"/>
              <w:rPr>
                <w:rFonts w:asciiTheme="minorHAnsi" w:hAnsiTheme="minorHAnsi" w:cstheme="minorHAnsi"/>
                <w:szCs w:val="22"/>
              </w:rPr>
            </w:pPr>
            <w:r w:rsidRPr="0031544D">
              <w:rPr>
                <w:rFonts w:asciiTheme="minorHAnsi" w:hAnsiTheme="minorHAnsi" w:cstheme="minorHAnsi"/>
                <w:szCs w:val="22"/>
              </w:rPr>
              <w:t xml:space="preserve">Utöver Fusionsvederlaget som kommer att lämnas i form av nya aktier i det Övertagande Bolaget kommer inget annat vederlag </w:t>
            </w:r>
            <w:r>
              <w:rPr>
                <w:rFonts w:asciiTheme="minorHAnsi" w:hAnsiTheme="minorHAnsi" w:cstheme="minorHAnsi"/>
                <w:szCs w:val="22"/>
              </w:rPr>
              <w:t>att utgå till aktieägarna i det Överlåtande Bolaget.</w:t>
            </w:r>
          </w:p>
        </w:tc>
        <w:tc>
          <w:tcPr>
            <w:tcW w:w="103" w:type="pct"/>
            <w:tcBorders>
              <w:top w:val="nil"/>
              <w:left w:val="nil"/>
              <w:bottom w:val="nil"/>
              <w:right w:val="nil"/>
            </w:tcBorders>
          </w:tcPr>
          <w:p w14:paraId="532E6CA9" w14:textId="77777777" w:rsidR="00F415E9" w:rsidRPr="00851CFD" w:rsidRDefault="00F415E9" w:rsidP="0051120A">
            <w:pPr>
              <w:widowControl w:val="0"/>
              <w:jc w:val="right"/>
              <w:rPr>
                <w:szCs w:val="22"/>
              </w:rPr>
            </w:pPr>
          </w:p>
        </w:tc>
        <w:tc>
          <w:tcPr>
            <w:tcW w:w="258" w:type="pct"/>
            <w:tcBorders>
              <w:top w:val="nil"/>
              <w:left w:val="nil"/>
              <w:bottom w:val="nil"/>
              <w:right w:val="nil"/>
            </w:tcBorders>
          </w:tcPr>
          <w:p w14:paraId="370B7DFD" w14:textId="77777777" w:rsidR="00F415E9" w:rsidRDefault="00F415E9" w:rsidP="0051120A">
            <w:pPr>
              <w:widowControl w:val="0"/>
              <w:rPr>
                <w:rFonts w:asciiTheme="minorHAnsi" w:hAnsiTheme="minorHAnsi" w:cstheme="minorHAnsi"/>
                <w:szCs w:val="22"/>
              </w:rPr>
            </w:pPr>
            <w:r>
              <w:rPr>
                <w:rFonts w:asciiTheme="minorHAnsi" w:hAnsiTheme="minorHAnsi" w:cstheme="minorHAnsi"/>
                <w:szCs w:val="22"/>
              </w:rPr>
              <w:t>5.2</w:t>
            </w:r>
          </w:p>
        </w:tc>
        <w:tc>
          <w:tcPr>
            <w:tcW w:w="1340" w:type="pct"/>
            <w:tcBorders>
              <w:top w:val="nil"/>
              <w:left w:val="nil"/>
              <w:bottom w:val="nil"/>
              <w:right w:val="nil"/>
            </w:tcBorders>
          </w:tcPr>
          <w:p w14:paraId="4EED30A5" w14:textId="77777777" w:rsidR="00F415E9" w:rsidRPr="005C6AB1" w:rsidRDefault="00F415E9" w:rsidP="0051120A">
            <w:pPr>
              <w:pStyle w:val="Listanumrerad"/>
              <w:widowControl w:val="0"/>
              <w:numPr>
                <w:ilvl w:val="0"/>
                <w:numId w:val="0"/>
              </w:numPr>
              <w:rPr>
                <w:rFonts w:asciiTheme="minorHAnsi" w:hAnsiTheme="minorHAnsi" w:cstheme="minorHAnsi"/>
                <w:szCs w:val="22"/>
                <w:lang w:val="en-GB"/>
              </w:rPr>
            </w:pPr>
            <w:r w:rsidRPr="005C6AB1">
              <w:rPr>
                <w:rFonts w:asciiTheme="minorHAnsi" w:hAnsiTheme="minorHAnsi" w:cstheme="minorHAnsi"/>
                <w:szCs w:val="22"/>
                <w:lang w:val="en-GB"/>
              </w:rPr>
              <w:t xml:space="preserve">Apart from the Merger Consideration to be issued in the form of new shares </w:t>
            </w:r>
            <w:r>
              <w:rPr>
                <w:rFonts w:asciiTheme="minorHAnsi" w:hAnsiTheme="minorHAnsi" w:cstheme="minorHAnsi"/>
                <w:szCs w:val="22"/>
                <w:lang w:val="en-GB"/>
              </w:rPr>
              <w:t xml:space="preserve">of </w:t>
            </w:r>
            <w:r w:rsidRPr="005C6AB1">
              <w:rPr>
                <w:rFonts w:asciiTheme="minorHAnsi" w:hAnsiTheme="minorHAnsi" w:cstheme="minorHAnsi"/>
                <w:szCs w:val="22"/>
                <w:lang w:val="en-GB"/>
              </w:rPr>
              <w:t>the Transferee Company, no other consideration shall be distributed to the shareholders of the Transferor Company.</w:t>
            </w:r>
          </w:p>
        </w:tc>
        <w:tc>
          <w:tcPr>
            <w:tcW w:w="103" w:type="pct"/>
            <w:tcBorders>
              <w:top w:val="nil"/>
              <w:left w:val="nil"/>
              <w:bottom w:val="nil"/>
              <w:right w:val="nil"/>
            </w:tcBorders>
          </w:tcPr>
          <w:p w14:paraId="7C700CB2" w14:textId="77777777" w:rsidR="00F415E9" w:rsidRDefault="00F415E9" w:rsidP="0051120A">
            <w:pPr>
              <w:pStyle w:val="Listanumrerad"/>
              <w:widowControl w:val="0"/>
              <w:numPr>
                <w:ilvl w:val="0"/>
                <w:numId w:val="0"/>
              </w:numPr>
              <w:rPr>
                <w:rFonts w:asciiTheme="majorHAnsi" w:hAnsiTheme="majorHAnsi" w:cstheme="majorHAnsi"/>
                <w:b/>
                <w:szCs w:val="22"/>
                <w:lang w:val="en-GB"/>
              </w:rPr>
            </w:pPr>
          </w:p>
        </w:tc>
        <w:tc>
          <w:tcPr>
            <w:tcW w:w="259" w:type="pct"/>
            <w:tcBorders>
              <w:top w:val="nil"/>
              <w:left w:val="nil"/>
              <w:bottom w:val="nil"/>
              <w:right w:val="nil"/>
            </w:tcBorders>
          </w:tcPr>
          <w:p w14:paraId="71A3F1F0" w14:textId="77777777" w:rsidR="00F415E9" w:rsidRDefault="00F415E9" w:rsidP="0051120A">
            <w:pPr>
              <w:pStyle w:val="Listanumrerad"/>
              <w:widowControl w:val="0"/>
              <w:numPr>
                <w:ilvl w:val="0"/>
                <w:numId w:val="0"/>
              </w:numPr>
              <w:rPr>
                <w:rFonts w:asciiTheme="minorHAnsi" w:hAnsiTheme="minorHAnsi" w:cstheme="minorHAnsi"/>
                <w:szCs w:val="22"/>
              </w:rPr>
            </w:pPr>
            <w:r>
              <w:rPr>
                <w:rFonts w:asciiTheme="minorHAnsi" w:hAnsiTheme="minorHAnsi" w:cstheme="minorHAnsi"/>
                <w:szCs w:val="22"/>
              </w:rPr>
              <w:t>5.2</w:t>
            </w:r>
          </w:p>
        </w:tc>
        <w:tc>
          <w:tcPr>
            <w:tcW w:w="1338" w:type="pct"/>
            <w:tcBorders>
              <w:top w:val="nil"/>
              <w:left w:val="nil"/>
              <w:bottom w:val="nil"/>
              <w:right w:val="nil"/>
            </w:tcBorders>
          </w:tcPr>
          <w:p w14:paraId="398565F8" w14:textId="77777777" w:rsidR="00F415E9" w:rsidRPr="005C6AB1" w:rsidRDefault="00F415E9" w:rsidP="0051120A">
            <w:pPr>
              <w:pStyle w:val="Listanumrerad"/>
              <w:widowControl w:val="0"/>
              <w:numPr>
                <w:ilvl w:val="0"/>
                <w:numId w:val="0"/>
              </w:numPr>
              <w:rPr>
                <w:rFonts w:asciiTheme="minorHAnsi" w:hAnsiTheme="minorHAnsi" w:cstheme="minorHAnsi"/>
                <w:szCs w:val="22"/>
                <w:lang w:val="fi-FI"/>
              </w:rPr>
            </w:pPr>
            <w:r w:rsidRPr="005C6AB1">
              <w:rPr>
                <w:rFonts w:asciiTheme="minorHAnsi" w:hAnsiTheme="minorHAnsi" w:cstheme="minorHAnsi"/>
                <w:szCs w:val="22"/>
                <w:lang w:val="fi-FI"/>
              </w:rPr>
              <w:t xml:space="preserve">Sulautuvan Yhtiön osakkeenomistajille ei anneta muuta vastiketta edellä mainitun </w:t>
            </w:r>
            <w:r>
              <w:rPr>
                <w:rFonts w:asciiTheme="minorHAnsi" w:hAnsiTheme="minorHAnsi" w:cstheme="minorHAnsi"/>
                <w:szCs w:val="22"/>
                <w:lang w:val="fi-FI"/>
              </w:rPr>
              <w:t xml:space="preserve">Vastaanottavan Yhtiön uusina osakkeina annettavan </w:t>
            </w:r>
            <w:r w:rsidRPr="005C6AB1">
              <w:rPr>
                <w:rFonts w:asciiTheme="minorHAnsi" w:hAnsiTheme="minorHAnsi" w:cstheme="minorHAnsi"/>
                <w:szCs w:val="22"/>
                <w:lang w:val="fi-FI"/>
              </w:rPr>
              <w:t>Sulautumisvastikkeen lisäksi.</w:t>
            </w:r>
          </w:p>
        </w:tc>
      </w:tr>
      <w:tr w:rsidR="00D56D80" w:rsidRPr="009F16AC" w14:paraId="4781DF26" w14:textId="77777777" w:rsidTr="00317950">
        <w:tc>
          <w:tcPr>
            <w:tcW w:w="258" w:type="pct"/>
            <w:tcBorders>
              <w:top w:val="nil"/>
              <w:left w:val="nil"/>
              <w:bottom w:val="nil"/>
              <w:right w:val="nil"/>
            </w:tcBorders>
          </w:tcPr>
          <w:p w14:paraId="695A43A6" w14:textId="77777777" w:rsidR="00F415E9" w:rsidRDefault="00F415E9" w:rsidP="0051120A">
            <w:pPr>
              <w:widowControl w:val="0"/>
              <w:rPr>
                <w:rFonts w:asciiTheme="minorHAnsi" w:hAnsiTheme="minorHAnsi" w:cstheme="minorHAnsi"/>
                <w:szCs w:val="22"/>
                <w:lang w:val="fi-FI"/>
              </w:rPr>
            </w:pPr>
            <w:r>
              <w:rPr>
                <w:rFonts w:asciiTheme="minorHAnsi" w:hAnsiTheme="minorHAnsi" w:cstheme="minorHAnsi"/>
                <w:szCs w:val="22"/>
                <w:lang w:val="fi-FI"/>
              </w:rPr>
              <w:t>5.3</w:t>
            </w:r>
          </w:p>
        </w:tc>
        <w:tc>
          <w:tcPr>
            <w:tcW w:w="1341" w:type="pct"/>
            <w:tcBorders>
              <w:top w:val="nil"/>
              <w:left w:val="nil"/>
              <w:bottom w:val="nil"/>
              <w:right w:val="nil"/>
            </w:tcBorders>
          </w:tcPr>
          <w:p w14:paraId="46E2291F" w14:textId="77777777" w:rsidR="00F415E9" w:rsidRPr="0031544D" w:rsidRDefault="00F415E9" w:rsidP="0051120A">
            <w:pPr>
              <w:widowControl w:val="0"/>
              <w:rPr>
                <w:rFonts w:asciiTheme="minorHAnsi" w:hAnsiTheme="minorHAnsi" w:cstheme="minorHAnsi"/>
                <w:szCs w:val="22"/>
              </w:rPr>
            </w:pPr>
            <w:r>
              <w:rPr>
                <w:rFonts w:asciiTheme="minorHAnsi" w:hAnsiTheme="minorHAnsi" w:cstheme="minorHAnsi"/>
                <w:szCs w:val="22"/>
              </w:rPr>
              <w:t>Fusionsvederlaget ska lämnas till dem som är aktieägare i det Överlåtande Bolaget på dagen för Fusionens verkställande.</w:t>
            </w:r>
          </w:p>
        </w:tc>
        <w:tc>
          <w:tcPr>
            <w:tcW w:w="103" w:type="pct"/>
            <w:tcBorders>
              <w:top w:val="nil"/>
              <w:left w:val="nil"/>
              <w:bottom w:val="nil"/>
              <w:right w:val="nil"/>
            </w:tcBorders>
          </w:tcPr>
          <w:p w14:paraId="6D5060BA" w14:textId="77777777" w:rsidR="00F415E9" w:rsidRPr="00851CFD" w:rsidRDefault="00F415E9" w:rsidP="0051120A">
            <w:pPr>
              <w:widowControl w:val="0"/>
              <w:jc w:val="right"/>
              <w:rPr>
                <w:szCs w:val="22"/>
              </w:rPr>
            </w:pPr>
          </w:p>
        </w:tc>
        <w:tc>
          <w:tcPr>
            <w:tcW w:w="258" w:type="pct"/>
            <w:tcBorders>
              <w:top w:val="nil"/>
              <w:left w:val="nil"/>
              <w:bottom w:val="nil"/>
              <w:right w:val="nil"/>
            </w:tcBorders>
          </w:tcPr>
          <w:p w14:paraId="3F9BB0F0" w14:textId="77777777" w:rsidR="00F415E9" w:rsidRDefault="00F415E9" w:rsidP="0051120A">
            <w:pPr>
              <w:widowControl w:val="0"/>
              <w:rPr>
                <w:rFonts w:asciiTheme="minorHAnsi" w:hAnsiTheme="minorHAnsi" w:cstheme="minorHAnsi"/>
                <w:szCs w:val="22"/>
              </w:rPr>
            </w:pPr>
            <w:r>
              <w:rPr>
                <w:rFonts w:asciiTheme="minorHAnsi" w:hAnsiTheme="minorHAnsi" w:cstheme="minorHAnsi"/>
                <w:szCs w:val="22"/>
              </w:rPr>
              <w:t>5.3</w:t>
            </w:r>
          </w:p>
        </w:tc>
        <w:tc>
          <w:tcPr>
            <w:tcW w:w="1340" w:type="pct"/>
            <w:tcBorders>
              <w:top w:val="nil"/>
              <w:left w:val="nil"/>
              <w:bottom w:val="nil"/>
              <w:right w:val="nil"/>
            </w:tcBorders>
          </w:tcPr>
          <w:p w14:paraId="52DFBA48" w14:textId="77777777" w:rsidR="00F415E9" w:rsidRPr="005C6AB1" w:rsidRDefault="00F415E9" w:rsidP="0051120A">
            <w:pPr>
              <w:pStyle w:val="Listanumrerad"/>
              <w:widowControl w:val="0"/>
              <w:numPr>
                <w:ilvl w:val="0"/>
                <w:numId w:val="0"/>
              </w:numPr>
              <w:rPr>
                <w:rFonts w:asciiTheme="minorHAnsi" w:hAnsiTheme="minorHAnsi" w:cstheme="minorHAnsi"/>
                <w:szCs w:val="22"/>
                <w:lang w:val="en-GB"/>
              </w:rPr>
            </w:pPr>
            <w:r w:rsidRPr="001F64A6">
              <w:rPr>
                <w:rFonts w:asciiTheme="minorHAnsi" w:hAnsiTheme="minorHAnsi" w:cstheme="minorHAnsi"/>
                <w:szCs w:val="22"/>
                <w:lang w:val="en-GB"/>
              </w:rPr>
              <w:t xml:space="preserve">The Merger Consideration shall be </w:t>
            </w:r>
            <w:r>
              <w:rPr>
                <w:rFonts w:asciiTheme="minorHAnsi" w:hAnsiTheme="minorHAnsi" w:cstheme="minorHAnsi"/>
                <w:szCs w:val="22"/>
                <w:lang w:val="en-GB"/>
              </w:rPr>
              <w:t>issued</w:t>
            </w:r>
            <w:r w:rsidRPr="001F64A6">
              <w:rPr>
                <w:rFonts w:asciiTheme="minorHAnsi" w:hAnsiTheme="minorHAnsi" w:cstheme="minorHAnsi"/>
                <w:szCs w:val="22"/>
                <w:lang w:val="en-GB"/>
              </w:rPr>
              <w:t xml:space="preserve"> to </w:t>
            </w:r>
            <w:r>
              <w:rPr>
                <w:rFonts w:asciiTheme="minorHAnsi" w:hAnsiTheme="minorHAnsi" w:cstheme="minorHAnsi"/>
                <w:szCs w:val="22"/>
                <w:lang w:val="en-GB"/>
              </w:rPr>
              <w:t xml:space="preserve">those who are </w:t>
            </w:r>
            <w:r w:rsidRPr="001F64A6">
              <w:rPr>
                <w:rFonts w:asciiTheme="minorHAnsi" w:hAnsiTheme="minorHAnsi" w:cstheme="minorHAnsi"/>
                <w:szCs w:val="22"/>
                <w:lang w:val="en-GB"/>
              </w:rPr>
              <w:t>shareholders</w:t>
            </w:r>
            <w:r>
              <w:rPr>
                <w:rFonts w:asciiTheme="minorHAnsi" w:hAnsiTheme="minorHAnsi" w:cstheme="minorHAnsi"/>
                <w:szCs w:val="22"/>
                <w:lang w:val="en-GB"/>
              </w:rPr>
              <w:t xml:space="preserve"> of the Transferor Company on the day of the execution of the Merger.</w:t>
            </w:r>
          </w:p>
        </w:tc>
        <w:tc>
          <w:tcPr>
            <w:tcW w:w="103" w:type="pct"/>
            <w:tcBorders>
              <w:top w:val="nil"/>
              <w:left w:val="nil"/>
              <w:bottom w:val="nil"/>
              <w:right w:val="nil"/>
            </w:tcBorders>
          </w:tcPr>
          <w:p w14:paraId="6BFA46DA" w14:textId="77777777" w:rsidR="00F415E9" w:rsidRDefault="00F415E9" w:rsidP="0051120A">
            <w:pPr>
              <w:pStyle w:val="Listanumrerad"/>
              <w:widowControl w:val="0"/>
              <w:numPr>
                <w:ilvl w:val="0"/>
                <w:numId w:val="0"/>
              </w:numPr>
              <w:rPr>
                <w:rFonts w:asciiTheme="majorHAnsi" w:hAnsiTheme="majorHAnsi" w:cstheme="majorHAnsi"/>
                <w:b/>
                <w:szCs w:val="22"/>
                <w:lang w:val="en-GB"/>
              </w:rPr>
            </w:pPr>
          </w:p>
        </w:tc>
        <w:tc>
          <w:tcPr>
            <w:tcW w:w="259" w:type="pct"/>
            <w:tcBorders>
              <w:top w:val="nil"/>
              <w:left w:val="nil"/>
              <w:bottom w:val="nil"/>
              <w:right w:val="nil"/>
            </w:tcBorders>
          </w:tcPr>
          <w:p w14:paraId="7B7D0C35" w14:textId="77777777" w:rsidR="00F415E9" w:rsidRDefault="00F415E9" w:rsidP="0051120A">
            <w:pPr>
              <w:pStyle w:val="Listanumrerad"/>
              <w:widowControl w:val="0"/>
              <w:numPr>
                <w:ilvl w:val="0"/>
                <w:numId w:val="0"/>
              </w:numPr>
              <w:rPr>
                <w:rFonts w:asciiTheme="minorHAnsi" w:hAnsiTheme="minorHAnsi" w:cstheme="minorHAnsi"/>
                <w:szCs w:val="22"/>
              </w:rPr>
            </w:pPr>
            <w:r>
              <w:rPr>
                <w:rFonts w:asciiTheme="minorHAnsi" w:hAnsiTheme="minorHAnsi" w:cstheme="minorHAnsi"/>
                <w:szCs w:val="22"/>
              </w:rPr>
              <w:t>5.3</w:t>
            </w:r>
          </w:p>
        </w:tc>
        <w:tc>
          <w:tcPr>
            <w:tcW w:w="1338" w:type="pct"/>
            <w:tcBorders>
              <w:top w:val="nil"/>
              <w:left w:val="nil"/>
              <w:bottom w:val="nil"/>
              <w:right w:val="nil"/>
            </w:tcBorders>
          </w:tcPr>
          <w:p w14:paraId="074A4691" w14:textId="77777777" w:rsidR="00F415E9" w:rsidRPr="005C6AB1" w:rsidRDefault="00F415E9" w:rsidP="0051120A">
            <w:pPr>
              <w:pStyle w:val="Listanumrerad"/>
              <w:widowControl w:val="0"/>
              <w:numPr>
                <w:ilvl w:val="0"/>
                <w:numId w:val="0"/>
              </w:numPr>
              <w:rPr>
                <w:rFonts w:asciiTheme="minorHAnsi" w:hAnsiTheme="minorHAnsi" w:cstheme="minorHAnsi"/>
                <w:szCs w:val="22"/>
                <w:lang w:val="fi-FI"/>
              </w:rPr>
            </w:pPr>
            <w:r>
              <w:rPr>
                <w:rFonts w:asciiTheme="minorHAnsi" w:hAnsiTheme="minorHAnsi" w:cstheme="minorHAnsi"/>
                <w:szCs w:val="22"/>
                <w:lang w:val="fi-FI"/>
              </w:rPr>
              <w:t>Sulautumisvastike annetaan niille, jotka ovat Sulautuvan Yhtiön osakkeenomistajia Sulautumisen täytäntöönpanopäivänä.</w:t>
            </w:r>
          </w:p>
        </w:tc>
      </w:tr>
      <w:tr w:rsidR="00D56D80" w:rsidRPr="00907195" w14:paraId="7DA92ED7" w14:textId="77777777" w:rsidTr="00317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 w:type="pct"/>
          </w:tcPr>
          <w:p w14:paraId="29EAAA2F" w14:textId="46CADC70" w:rsidR="00023ADD" w:rsidRPr="008944E2" w:rsidRDefault="00023ADD" w:rsidP="00023ADD">
            <w:pPr>
              <w:rPr>
                <w:rFonts w:asciiTheme="majorHAnsi" w:hAnsiTheme="majorHAnsi" w:cstheme="majorHAnsi"/>
                <w:b/>
                <w:sz w:val="20"/>
                <w:lang w:val="fi-FI"/>
              </w:rPr>
            </w:pPr>
          </w:p>
        </w:tc>
        <w:tc>
          <w:tcPr>
            <w:tcW w:w="1341" w:type="pct"/>
          </w:tcPr>
          <w:p w14:paraId="2A8F8BCA" w14:textId="77777777" w:rsidR="00023ADD" w:rsidRPr="00C46C8E" w:rsidRDefault="00023ADD" w:rsidP="00023ADD">
            <w:pPr>
              <w:jc w:val="center"/>
              <w:rPr>
                <w:lang w:val="fi-FI"/>
              </w:rPr>
            </w:pPr>
            <w:r w:rsidRPr="00C46C8E">
              <w:rPr>
                <w:lang w:val="fi-FI"/>
              </w:rPr>
              <w:t>* * *</w:t>
            </w:r>
          </w:p>
        </w:tc>
        <w:tc>
          <w:tcPr>
            <w:tcW w:w="103" w:type="pct"/>
          </w:tcPr>
          <w:p w14:paraId="5FF29F7E" w14:textId="77777777" w:rsidR="00023ADD" w:rsidRPr="00C46C8E" w:rsidRDefault="00023ADD" w:rsidP="00023ADD">
            <w:pPr>
              <w:jc w:val="right"/>
              <w:rPr>
                <w:rFonts w:asciiTheme="majorHAnsi" w:hAnsiTheme="majorHAnsi" w:cstheme="majorHAnsi"/>
                <w:b/>
                <w:sz w:val="20"/>
                <w:lang w:val="fi-FI"/>
              </w:rPr>
            </w:pPr>
          </w:p>
        </w:tc>
        <w:tc>
          <w:tcPr>
            <w:tcW w:w="258" w:type="pct"/>
          </w:tcPr>
          <w:p w14:paraId="79DDA02D" w14:textId="77777777" w:rsidR="00023ADD" w:rsidRPr="00C46C8E" w:rsidRDefault="00023ADD" w:rsidP="00023ADD">
            <w:pPr>
              <w:rPr>
                <w:rFonts w:asciiTheme="majorHAnsi" w:hAnsiTheme="majorHAnsi" w:cstheme="majorHAnsi"/>
                <w:b/>
                <w:sz w:val="20"/>
                <w:lang w:val="fi-FI"/>
              </w:rPr>
            </w:pPr>
          </w:p>
        </w:tc>
        <w:tc>
          <w:tcPr>
            <w:tcW w:w="1340" w:type="pct"/>
          </w:tcPr>
          <w:p w14:paraId="4656E4C5" w14:textId="77777777" w:rsidR="00023ADD" w:rsidRPr="00C46C8E" w:rsidRDefault="00023ADD" w:rsidP="00023ADD">
            <w:pPr>
              <w:jc w:val="center"/>
              <w:rPr>
                <w:lang w:val="fi-FI"/>
              </w:rPr>
            </w:pPr>
            <w:r w:rsidRPr="00C46C8E">
              <w:rPr>
                <w:lang w:val="fi-FI"/>
              </w:rPr>
              <w:t>* * *</w:t>
            </w:r>
          </w:p>
        </w:tc>
        <w:tc>
          <w:tcPr>
            <w:tcW w:w="103" w:type="pct"/>
          </w:tcPr>
          <w:p w14:paraId="0E932E50" w14:textId="77777777" w:rsidR="00023ADD" w:rsidRPr="00C46C8E" w:rsidRDefault="00023ADD" w:rsidP="00023ADD">
            <w:pPr>
              <w:jc w:val="center"/>
              <w:rPr>
                <w:lang w:val="fi-FI"/>
              </w:rPr>
            </w:pPr>
          </w:p>
        </w:tc>
        <w:tc>
          <w:tcPr>
            <w:tcW w:w="259" w:type="pct"/>
          </w:tcPr>
          <w:p w14:paraId="3F64773F" w14:textId="77777777" w:rsidR="00023ADD" w:rsidRPr="00C46C8E" w:rsidRDefault="00023ADD" w:rsidP="00023ADD">
            <w:pPr>
              <w:jc w:val="center"/>
              <w:rPr>
                <w:rFonts w:asciiTheme="minorHAnsi" w:hAnsiTheme="minorHAnsi" w:cstheme="minorHAnsi"/>
                <w:szCs w:val="22"/>
                <w:lang w:val="fi-FI"/>
              </w:rPr>
            </w:pPr>
          </w:p>
        </w:tc>
        <w:tc>
          <w:tcPr>
            <w:tcW w:w="1338" w:type="pct"/>
          </w:tcPr>
          <w:p w14:paraId="0C3F90F8" w14:textId="77777777" w:rsidR="00023ADD" w:rsidRPr="00C46C8E" w:rsidRDefault="00023ADD" w:rsidP="00023ADD">
            <w:pPr>
              <w:jc w:val="center"/>
              <w:rPr>
                <w:lang w:val="fi-FI"/>
              </w:rPr>
            </w:pPr>
            <w:r w:rsidRPr="00C46C8E">
              <w:rPr>
                <w:lang w:val="fi-FI"/>
              </w:rPr>
              <w:t>* * *</w:t>
            </w:r>
          </w:p>
        </w:tc>
      </w:tr>
      <w:tr w:rsidR="00D56D80" w:rsidRPr="00910F03" w14:paraId="4E3685F8" w14:textId="77777777" w:rsidTr="003179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 w:type="pct"/>
          </w:tcPr>
          <w:p w14:paraId="5E76E983" w14:textId="77777777" w:rsidR="00023ADD" w:rsidRPr="00C46C8E" w:rsidRDefault="00023ADD" w:rsidP="00023ADD">
            <w:pPr>
              <w:rPr>
                <w:rFonts w:asciiTheme="minorHAnsi" w:hAnsiTheme="minorHAnsi" w:cstheme="minorHAnsi"/>
                <w:szCs w:val="22"/>
                <w:lang w:val="fi-FI"/>
              </w:rPr>
            </w:pPr>
          </w:p>
        </w:tc>
        <w:tc>
          <w:tcPr>
            <w:tcW w:w="1341" w:type="pct"/>
          </w:tcPr>
          <w:p w14:paraId="12E926BA" w14:textId="77777777" w:rsidR="00023ADD" w:rsidRPr="00C46C8E" w:rsidRDefault="00023ADD" w:rsidP="00023ADD">
            <w:pPr>
              <w:rPr>
                <w:lang w:val="fi-FI"/>
              </w:rPr>
            </w:pPr>
            <w:r w:rsidRPr="00C46C8E">
              <w:rPr>
                <w:lang w:val="fi-FI"/>
              </w:rPr>
              <w:t>[</w:t>
            </w:r>
            <w:r w:rsidRPr="00C46C8E">
              <w:rPr>
                <w:i/>
                <w:lang w:val="fi-FI"/>
              </w:rPr>
              <w:t>Separata signatursidor följer</w:t>
            </w:r>
            <w:r w:rsidRPr="00C46C8E">
              <w:rPr>
                <w:lang w:val="fi-FI"/>
              </w:rPr>
              <w:t>]</w:t>
            </w:r>
          </w:p>
        </w:tc>
        <w:tc>
          <w:tcPr>
            <w:tcW w:w="103" w:type="pct"/>
          </w:tcPr>
          <w:p w14:paraId="157F62C6" w14:textId="77777777" w:rsidR="00023ADD" w:rsidRPr="00C46C8E" w:rsidRDefault="00023ADD" w:rsidP="00023ADD">
            <w:pPr>
              <w:jc w:val="right"/>
              <w:rPr>
                <w:lang w:val="fi-FI"/>
              </w:rPr>
            </w:pPr>
          </w:p>
        </w:tc>
        <w:tc>
          <w:tcPr>
            <w:tcW w:w="258" w:type="pct"/>
          </w:tcPr>
          <w:p w14:paraId="52FCF80E" w14:textId="77777777" w:rsidR="00023ADD" w:rsidRPr="00C46C8E" w:rsidRDefault="00023ADD" w:rsidP="00023ADD">
            <w:pPr>
              <w:rPr>
                <w:lang w:val="fi-FI"/>
              </w:rPr>
            </w:pPr>
          </w:p>
        </w:tc>
        <w:tc>
          <w:tcPr>
            <w:tcW w:w="1340" w:type="pct"/>
          </w:tcPr>
          <w:p w14:paraId="4DC51EC8" w14:textId="77777777" w:rsidR="00023ADD" w:rsidRPr="002555A5" w:rsidRDefault="00023ADD" w:rsidP="00023ADD">
            <w:pPr>
              <w:rPr>
                <w:lang w:val="en-GB"/>
              </w:rPr>
            </w:pPr>
            <w:r w:rsidRPr="002555A5">
              <w:rPr>
                <w:lang w:val="en-GB"/>
              </w:rPr>
              <w:t>[</w:t>
            </w:r>
            <w:r w:rsidRPr="002555A5">
              <w:rPr>
                <w:i/>
                <w:lang w:val="en-GB"/>
              </w:rPr>
              <w:t>Separate signature pages to follow</w:t>
            </w:r>
            <w:r w:rsidRPr="002555A5">
              <w:rPr>
                <w:lang w:val="en-GB"/>
              </w:rPr>
              <w:t>]</w:t>
            </w:r>
          </w:p>
        </w:tc>
        <w:tc>
          <w:tcPr>
            <w:tcW w:w="103" w:type="pct"/>
          </w:tcPr>
          <w:p w14:paraId="1E3AB580" w14:textId="77777777" w:rsidR="00023ADD" w:rsidRPr="00705907" w:rsidRDefault="00023ADD" w:rsidP="00023ADD">
            <w:pPr>
              <w:rPr>
                <w:lang w:val="en-GB"/>
              </w:rPr>
            </w:pPr>
          </w:p>
        </w:tc>
        <w:tc>
          <w:tcPr>
            <w:tcW w:w="259" w:type="pct"/>
          </w:tcPr>
          <w:p w14:paraId="4D51B6FB" w14:textId="77777777" w:rsidR="00023ADD" w:rsidRPr="002555A5" w:rsidRDefault="00023ADD" w:rsidP="00023ADD">
            <w:pPr>
              <w:rPr>
                <w:rFonts w:asciiTheme="minorHAnsi" w:hAnsiTheme="minorHAnsi" w:cstheme="minorHAnsi"/>
                <w:szCs w:val="22"/>
                <w:lang w:val="en-GB"/>
              </w:rPr>
            </w:pPr>
          </w:p>
        </w:tc>
        <w:tc>
          <w:tcPr>
            <w:tcW w:w="1338" w:type="pct"/>
          </w:tcPr>
          <w:p w14:paraId="52E59FF6" w14:textId="77777777" w:rsidR="00023ADD" w:rsidRPr="008944E2" w:rsidRDefault="00023ADD" w:rsidP="00023ADD">
            <w:pPr>
              <w:rPr>
                <w:lang w:val="en-GB"/>
              </w:rPr>
            </w:pPr>
            <w:r w:rsidRPr="00C46C8E">
              <w:rPr>
                <w:lang w:val="fi-FI"/>
              </w:rPr>
              <w:t>[</w:t>
            </w:r>
            <w:r w:rsidRPr="00C46C8E">
              <w:rPr>
                <w:i/>
                <w:lang w:val="fi-FI"/>
              </w:rPr>
              <w:t>Allekirjoitukset seuraavill</w:t>
            </w:r>
            <w:r>
              <w:rPr>
                <w:i/>
                <w:lang w:val="en-GB"/>
              </w:rPr>
              <w:t>a sivuilla</w:t>
            </w:r>
            <w:r>
              <w:rPr>
                <w:lang w:val="en-GB"/>
              </w:rPr>
              <w:t>]</w:t>
            </w:r>
          </w:p>
        </w:tc>
      </w:tr>
    </w:tbl>
    <w:p w14:paraId="1CBE60A0" w14:textId="77777777" w:rsidR="00B65B9C" w:rsidRDefault="00B65B9C">
      <w:pPr>
        <w:spacing w:after="0" w:line="240" w:lineRule="auto"/>
        <w:rPr>
          <w:lang w:val="en-GB"/>
        </w:rPr>
      </w:pPr>
      <w:r>
        <w:rPr>
          <w:lang w:val="en-GB"/>
        </w:rPr>
        <w:br w:type="page"/>
      </w:r>
    </w:p>
    <w:p w14:paraId="77A8A138" w14:textId="53C9A703" w:rsidR="00C465F6" w:rsidRPr="001E1672" w:rsidRDefault="00C465F6" w:rsidP="00C465F6">
      <w:r w:rsidRPr="001E1672">
        <w:lastRenderedPageBreak/>
        <w:t xml:space="preserve">Stockholm/Tukholma, </w:t>
      </w:r>
      <w:r w:rsidR="00AF292A" w:rsidRPr="001E1672">
        <w:t xml:space="preserve">den 25 </w:t>
      </w:r>
      <w:r w:rsidR="00875871">
        <w:t>o</w:t>
      </w:r>
      <w:r w:rsidR="00AF292A" w:rsidRPr="001E1672">
        <w:t xml:space="preserve">ktober 2017 / </w:t>
      </w:r>
      <w:r w:rsidR="00AD7E62" w:rsidRPr="001E1672">
        <w:t>25 October</w:t>
      </w:r>
      <w:r w:rsidR="00395DEA" w:rsidRPr="001E1672">
        <w:t xml:space="preserve"> 2017</w:t>
      </w:r>
      <w:r w:rsidR="00AF292A" w:rsidRPr="001E1672">
        <w:t xml:space="preserve"> / 25. lokakuuta 2017</w:t>
      </w:r>
    </w:p>
    <w:tbl>
      <w:tblPr>
        <w:tblStyle w:val="Tabellrutnt"/>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
        <w:gridCol w:w="3739"/>
        <w:gridCol w:w="802"/>
        <w:gridCol w:w="3744"/>
        <w:gridCol w:w="802"/>
        <w:gridCol w:w="3741"/>
      </w:tblGrid>
      <w:tr w:rsidR="00C465F6" w:rsidRPr="00D56D80" w14:paraId="1D43ADD6" w14:textId="77777777" w:rsidTr="00317950">
        <w:tc>
          <w:tcPr>
            <w:tcW w:w="135" w:type="pct"/>
          </w:tcPr>
          <w:p w14:paraId="1B3DE5F8" w14:textId="77777777" w:rsidR="00C465F6" w:rsidRPr="001E1672" w:rsidRDefault="00C465F6" w:rsidP="00F92B60">
            <w:pPr>
              <w:keepNext/>
            </w:pPr>
          </w:p>
        </w:tc>
        <w:tc>
          <w:tcPr>
            <w:tcW w:w="3142" w:type="pct"/>
            <w:gridSpan w:val="3"/>
          </w:tcPr>
          <w:p w14:paraId="30AC220D" w14:textId="77777777" w:rsidR="00C465F6" w:rsidRDefault="00C465F6" w:rsidP="00F92B60">
            <w:pPr>
              <w:keepNext/>
              <w:rPr>
                <w:i/>
                <w:lang w:val="en-GB"/>
              </w:rPr>
            </w:pPr>
            <w:r>
              <w:rPr>
                <w:lang w:val="en-GB"/>
              </w:rPr>
              <w:t>Styrelsen/Board of directors/Hallitus</w:t>
            </w:r>
          </w:p>
          <w:p w14:paraId="56A32716" w14:textId="77777777" w:rsidR="00C465F6" w:rsidRDefault="00C465F6" w:rsidP="00F92B60">
            <w:pPr>
              <w:keepNext/>
              <w:rPr>
                <w:lang w:val="en-GB"/>
              </w:rPr>
            </w:pPr>
            <w:r w:rsidRPr="007562C2">
              <w:rPr>
                <w:caps/>
                <w:lang w:val="en-GB"/>
              </w:rPr>
              <w:t>Nordea Bank AB (</w:t>
            </w:r>
            <w:r w:rsidRPr="007562C2">
              <w:rPr>
                <w:lang w:val="en-GB"/>
              </w:rPr>
              <w:t>publ</w:t>
            </w:r>
            <w:r>
              <w:rPr>
                <w:lang w:val="en-GB"/>
              </w:rPr>
              <w:t>)</w:t>
            </w:r>
          </w:p>
        </w:tc>
        <w:tc>
          <w:tcPr>
            <w:tcW w:w="304" w:type="pct"/>
          </w:tcPr>
          <w:p w14:paraId="4C1F5314" w14:textId="77777777" w:rsidR="00C465F6" w:rsidRDefault="00C465F6" w:rsidP="00F92B60">
            <w:pPr>
              <w:keepNext/>
              <w:rPr>
                <w:lang w:val="en-GB"/>
              </w:rPr>
            </w:pPr>
          </w:p>
        </w:tc>
        <w:tc>
          <w:tcPr>
            <w:tcW w:w="1419" w:type="pct"/>
          </w:tcPr>
          <w:p w14:paraId="68C3092B" w14:textId="77777777" w:rsidR="00C465F6" w:rsidRDefault="00C465F6" w:rsidP="00F92B60">
            <w:pPr>
              <w:keepNext/>
              <w:rPr>
                <w:lang w:val="en-GB"/>
              </w:rPr>
            </w:pPr>
          </w:p>
        </w:tc>
      </w:tr>
      <w:tr w:rsidR="00C465F6" w:rsidRPr="00D56D80" w14:paraId="2B103AF2" w14:textId="77777777" w:rsidTr="00317950">
        <w:tc>
          <w:tcPr>
            <w:tcW w:w="135" w:type="pct"/>
          </w:tcPr>
          <w:p w14:paraId="48709DD8" w14:textId="77777777" w:rsidR="00C465F6" w:rsidRDefault="00C465F6" w:rsidP="00F92B60">
            <w:pPr>
              <w:keepNext/>
              <w:rPr>
                <w:lang w:val="en-GB"/>
              </w:rPr>
            </w:pPr>
          </w:p>
        </w:tc>
        <w:tc>
          <w:tcPr>
            <w:tcW w:w="1418" w:type="pct"/>
          </w:tcPr>
          <w:p w14:paraId="23643CAA" w14:textId="77777777" w:rsidR="00C465F6" w:rsidRDefault="00C465F6" w:rsidP="00F92B60">
            <w:pPr>
              <w:keepNext/>
              <w:rPr>
                <w:lang w:val="en-GB"/>
              </w:rPr>
            </w:pPr>
          </w:p>
        </w:tc>
        <w:tc>
          <w:tcPr>
            <w:tcW w:w="304" w:type="pct"/>
          </w:tcPr>
          <w:p w14:paraId="57780D63" w14:textId="77777777" w:rsidR="00C465F6" w:rsidRDefault="00C465F6" w:rsidP="00F92B60">
            <w:pPr>
              <w:keepNext/>
              <w:rPr>
                <w:lang w:val="en-GB"/>
              </w:rPr>
            </w:pPr>
          </w:p>
        </w:tc>
        <w:tc>
          <w:tcPr>
            <w:tcW w:w="1420" w:type="pct"/>
          </w:tcPr>
          <w:p w14:paraId="33A681AE" w14:textId="77777777" w:rsidR="00C465F6" w:rsidRDefault="00C465F6" w:rsidP="00F92B60">
            <w:pPr>
              <w:keepNext/>
              <w:rPr>
                <w:lang w:val="en-GB"/>
              </w:rPr>
            </w:pPr>
          </w:p>
        </w:tc>
        <w:tc>
          <w:tcPr>
            <w:tcW w:w="304" w:type="pct"/>
          </w:tcPr>
          <w:p w14:paraId="15C9CD93" w14:textId="77777777" w:rsidR="00C465F6" w:rsidRDefault="00C465F6" w:rsidP="00F92B60">
            <w:pPr>
              <w:keepNext/>
              <w:rPr>
                <w:lang w:val="en-GB"/>
              </w:rPr>
            </w:pPr>
          </w:p>
        </w:tc>
        <w:tc>
          <w:tcPr>
            <w:tcW w:w="1419" w:type="pct"/>
          </w:tcPr>
          <w:p w14:paraId="79E04050" w14:textId="77777777" w:rsidR="00C465F6" w:rsidRDefault="00C465F6" w:rsidP="00F92B60">
            <w:pPr>
              <w:keepNext/>
              <w:rPr>
                <w:lang w:val="en-GB"/>
              </w:rPr>
            </w:pPr>
          </w:p>
        </w:tc>
      </w:tr>
      <w:tr w:rsidR="00C465F6" w:rsidRPr="00D56D80" w14:paraId="54473F5E" w14:textId="77777777" w:rsidTr="00317950">
        <w:tc>
          <w:tcPr>
            <w:tcW w:w="135" w:type="pct"/>
          </w:tcPr>
          <w:p w14:paraId="28B20F63" w14:textId="77777777" w:rsidR="00C465F6" w:rsidRDefault="00C465F6" w:rsidP="00F92B60">
            <w:pPr>
              <w:keepNext/>
              <w:rPr>
                <w:lang w:val="en-GB"/>
              </w:rPr>
            </w:pPr>
          </w:p>
        </w:tc>
        <w:tc>
          <w:tcPr>
            <w:tcW w:w="1418" w:type="pct"/>
            <w:tcBorders>
              <w:bottom w:val="single" w:sz="4" w:space="0" w:color="auto"/>
            </w:tcBorders>
          </w:tcPr>
          <w:p w14:paraId="520508A7" w14:textId="77777777" w:rsidR="00C465F6" w:rsidRDefault="00C465F6" w:rsidP="00F92B60">
            <w:pPr>
              <w:keepNext/>
              <w:rPr>
                <w:lang w:val="en-GB"/>
              </w:rPr>
            </w:pPr>
          </w:p>
        </w:tc>
        <w:tc>
          <w:tcPr>
            <w:tcW w:w="304" w:type="pct"/>
          </w:tcPr>
          <w:p w14:paraId="2629D7A5" w14:textId="77777777" w:rsidR="00C465F6" w:rsidRDefault="00C465F6" w:rsidP="00F92B60">
            <w:pPr>
              <w:keepNext/>
              <w:rPr>
                <w:lang w:val="en-GB"/>
              </w:rPr>
            </w:pPr>
          </w:p>
        </w:tc>
        <w:tc>
          <w:tcPr>
            <w:tcW w:w="1420" w:type="pct"/>
            <w:tcBorders>
              <w:bottom w:val="single" w:sz="4" w:space="0" w:color="auto"/>
            </w:tcBorders>
          </w:tcPr>
          <w:p w14:paraId="2E429AC7" w14:textId="77777777" w:rsidR="00C465F6" w:rsidRDefault="00C465F6" w:rsidP="00F92B60">
            <w:pPr>
              <w:keepNext/>
              <w:rPr>
                <w:lang w:val="en-GB"/>
              </w:rPr>
            </w:pPr>
          </w:p>
        </w:tc>
        <w:tc>
          <w:tcPr>
            <w:tcW w:w="304" w:type="pct"/>
          </w:tcPr>
          <w:p w14:paraId="4C3882DC" w14:textId="77777777" w:rsidR="00C465F6" w:rsidRDefault="00C465F6" w:rsidP="00F92B60">
            <w:pPr>
              <w:keepNext/>
              <w:rPr>
                <w:lang w:val="en-GB"/>
              </w:rPr>
            </w:pPr>
          </w:p>
        </w:tc>
        <w:tc>
          <w:tcPr>
            <w:tcW w:w="1419" w:type="pct"/>
            <w:tcBorders>
              <w:bottom w:val="single" w:sz="4" w:space="0" w:color="auto"/>
            </w:tcBorders>
          </w:tcPr>
          <w:p w14:paraId="2F00FF19" w14:textId="77777777" w:rsidR="00C465F6" w:rsidRDefault="00C465F6" w:rsidP="00F92B60">
            <w:pPr>
              <w:keepNext/>
              <w:rPr>
                <w:lang w:val="en-GB"/>
              </w:rPr>
            </w:pPr>
          </w:p>
        </w:tc>
      </w:tr>
      <w:tr w:rsidR="00C465F6" w14:paraId="7E16FE39" w14:textId="77777777" w:rsidTr="00317950">
        <w:tc>
          <w:tcPr>
            <w:tcW w:w="135" w:type="pct"/>
          </w:tcPr>
          <w:p w14:paraId="4C56D875" w14:textId="77777777" w:rsidR="00C465F6" w:rsidRDefault="00C465F6" w:rsidP="00F92B60">
            <w:pPr>
              <w:keepNext/>
              <w:rPr>
                <w:lang w:val="en-GB"/>
              </w:rPr>
            </w:pPr>
          </w:p>
        </w:tc>
        <w:tc>
          <w:tcPr>
            <w:tcW w:w="1418" w:type="pct"/>
            <w:tcBorders>
              <w:top w:val="single" w:sz="4" w:space="0" w:color="auto"/>
            </w:tcBorders>
          </w:tcPr>
          <w:p w14:paraId="3ABADC24" w14:textId="77777777" w:rsidR="00C465F6" w:rsidRDefault="00C465F6" w:rsidP="00F92B60">
            <w:pPr>
              <w:keepNext/>
            </w:pPr>
            <w:r>
              <w:rPr>
                <w:rFonts w:asciiTheme="minorHAnsi" w:hAnsiTheme="minorHAnsi" w:cstheme="minorHAnsi"/>
                <w:szCs w:val="22"/>
              </w:rPr>
              <w:t>Björn Wahlroos</w:t>
            </w:r>
          </w:p>
        </w:tc>
        <w:tc>
          <w:tcPr>
            <w:tcW w:w="304" w:type="pct"/>
          </w:tcPr>
          <w:p w14:paraId="2D9C308A" w14:textId="77777777" w:rsidR="00C465F6" w:rsidRDefault="00C465F6" w:rsidP="00F92B60">
            <w:pPr>
              <w:keepNext/>
            </w:pPr>
          </w:p>
        </w:tc>
        <w:tc>
          <w:tcPr>
            <w:tcW w:w="1420" w:type="pct"/>
            <w:tcBorders>
              <w:top w:val="single" w:sz="4" w:space="0" w:color="auto"/>
            </w:tcBorders>
          </w:tcPr>
          <w:p w14:paraId="5BFEE158" w14:textId="6E61AF8C" w:rsidR="00C465F6" w:rsidRDefault="00742EF0" w:rsidP="00F92B60">
            <w:pPr>
              <w:keepNext/>
            </w:pPr>
            <w:r>
              <w:rPr>
                <w:rFonts w:asciiTheme="minorHAnsi" w:hAnsiTheme="minorHAnsi" w:cstheme="minorHAnsi"/>
                <w:szCs w:val="22"/>
              </w:rPr>
              <w:t>Lars G Nordström</w:t>
            </w:r>
          </w:p>
        </w:tc>
        <w:tc>
          <w:tcPr>
            <w:tcW w:w="304" w:type="pct"/>
          </w:tcPr>
          <w:p w14:paraId="5C17C42F" w14:textId="77777777" w:rsidR="00C465F6" w:rsidRDefault="00C465F6" w:rsidP="00F92B60">
            <w:pPr>
              <w:keepNext/>
              <w:rPr>
                <w:rFonts w:asciiTheme="minorHAnsi" w:hAnsiTheme="minorHAnsi" w:cstheme="minorHAnsi"/>
                <w:szCs w:val="22"/>
              </w:rPr>
            </w:pPr>
          </w:p>
        </w:tc>
        <w:tc>
          <w:tcPr>
            <w:tcW w:w="1419" w:type="pct"/>
            <w:tcBorders>
              <w:top w:val="single" w:sz="4" w:space="0" w:color="auto"/>
            </w:tcBorders>
          </w:tcPr>
          <w:p w14:paraId="16CE2966" w14:textId="59505864" w:rsidR="00C465F6" w:rsidRDefault="00742EF0" w:rsidP="00F92B60">
            <w:pPr>
              <w:keepNext/>
              <w:rPr>
                <w:rFonts w:asciiTheme="minorHAnsi" w:hAnsiTheme="minorHAnsi" w:cstheme="minorHAnsi"/>
                <w:szCs w:val="22"/>
              </w:rPr>
            </w:pPr>
            <w:r>
              <w:rPr>
                <w:rFonts w:asciiTheme="minorHAnsi" w:hAnsiTheme="minorHAnsi" w:cstheme="minorHAnsi"/>
                <w:szCs w:val="22"/>
              </w:rPr>
              <w:t>Gerhard Olsson</w:t>
            </w:r>
          </w:p>
        </w:tc>
      </w:tr>
      <w:tr w:rsidR="00C465F6" w14:paraId="62439E04" w14:textId="77777777" w:rsidTr="00317950">
        <w:tc>
          <w:tcPr>
            <w:tcW w:w="135" w:type="pct"/>
          </w:tcPr>
          <w:p w14:paraId="5323DE8C" w14:textId="77777777" w:rsidR="00C465F6" w:rsidRDefault="00C465F6" w:rsidP="00F92B60">
            <w:pPr>
              <w:keepNext/>
            </w:pPr>
          </w:p>
        </w:tc>
        <w:tc>
          <w:tcPr>
            <w:tcW w:w="1418" w:type="pct"/>
          </w:tcPr>
          <w:p w14:paraId="221D74DB" w14:textId="77777777" w:rsidR="00C465F6" w:rsidRDefault="00C465F6" w:rsidP="00F92B60">
            <w:pPr>
              <w:keepNext/>
            </w:pPr>
          </w:p>
        </w:tc>
        <w:tc>
          <w:tcPr>
            <w:tcW w:w="304" w:type="pct"/>
          </w:tcPr>
          <w:p w14:paraId="5F18C0C9" w14:textId="77777777" w:rsidR="00C465F6" w:rsidRDefault="00C465F6" w:rsidP="00F92B60">
            <w:pPr>
              <w:keepNext/>
            </w:pPr>
          </w:p>
        </w:tc>
        <w:tc>
          <w:tcPr>
            <w:tcW w:w="1420" w:type="pct"/>
          </w:tcPr>
          <w:p w14:paraId="53A8C6F2" w14:textId="77777777" w:rsidR="00C465F6" w:rsidRDefault="00C465F6" w:rsidP="00F92B60">
            <w:pPr>
              <w:keepNext/>
            </w:pPr>
          </w:p>
        </w:tc>
        <w:tc>
          <w:tcPr>
            <w:tcW w:w="304" w:type="pct"/>
          </w:tcPr>
          <w:p w14:paraId="0CE50949" w14:textId="77777777" w:rsidR="00C465F6" w:rsidRDefault="00C465F6" w:rsidP="00F92B60">
            <w:pPr>
              <w:keepNext/>
            </w:pPr>
          </w:p>
        </w:tc>
        <w:tc>
          <w:tcPr>
            <w:tcW w:w="1419" w:type="pct"/>
          </w:tcPr>
          <w:p w14:paraId="49A1E10D" w14:textId="77777777" w:rsidR="00C465F6" w:rsidRDefault="00C465F6" w:rsidP="00F92B60">
            <w:pPr>
              <w:keepNext/>
            </w:pPr>
          </w:p>
        </w:tc>
      </w:tr>
      <w:tr w:rsidR="00C465F6" w14:paraId="24A54E3A" w14:textId="77777777" w:rsidTr="00317950">
        <w:tc>
          <w:tcPr>
            <w:tcW w:w="135" w:type="pct"/>
          </w:tcPr>
          <w:p w14:paraId="5711E7AD" w14:textId="77777777" w:rsidR="00C465F6" w:rsidRDefault="00C465F6" w:rsidP="00F92B60">
            <w:pPr>
              <w:keepNext/>
            </w:pPr>
          </w:p>
        </w:tc>
        <w:tc>
          <w:tcPr>
            <w:tcW w:w="1418" w:type="pct"/>
            <w:tcBorders>
              <w:bottom w:val="single" w:sz="4" w:space="0" w:color="auto"/>
            </w:tcBorders>
          </w:tcPr>
          <w:p w14:paraId="64F1CB16" w14:textId="77777777" w:rsidR="00C465F6" w:rsidRDefault="00C465F6" w:rsidP="00F92B60">
            <w:pPr>
              <w:keepNext/>
            </w:pPr>
          </w:p>
        </w:tc>
        <w:tc>
          <w:tcPr>
            <w:tcW w:w="304" w:type="pct"/>
          </w:tcPr>
          <w:p w14:paraId="2B08F2C5" w14:textId="77777777" w:rsidR="00C465F6" w:rsidRDefault="00C465F6" w:rsidP="00F92B60">
            <w:pPr>
              <w:keepNext/>
            </w:pPr>
          </w:p>
        </w:tc>
        <w:tc>
          <w:tcPr>
            <w:tcW w:w="1420" w:type="pct"/>
            <w:tcBorders>
              <w:bottom w:val="single" w:sz="4" w:space="0" w:color="auto"/>
            </w:tcBorders>
          </w:tcPr>
          <w:p w14:paraId="11563900" w14:textId="77777777" w:rsidR="00C465F6" w:rsidRDefault="00C465F6" w:rsidP="00F92B60">
            <w:pPr>
              <w:keepNext/>
            </w:pPr>
          </w:p>
        </w:tc>
        <w:tc>
          <w:tcPr>
            <w:tcW w:w="304" w:type="pct"/>
          </w:tcPr>
          <w:p w14:paraId="33D568C7" w14:textId="77777777" w:rsidR="00C465F6" w:rsidRDefault="00C465F6" w:rsidP="00F92B60">
            <w:pPr>
              <w:keepNext/>
            </w:pPr>
          </w:p>
        </w:tc>
        <w:tc>
          <w:tcPr>
            <w:tcW w:w="1419" w:type="pct"/>
            <w:tcBorders>
              <w:bottom w:val="single" w:sz="4" w:space="0" w:color="auto"/>
            </w:tcBorders>
          </w:tcPr>
          <w:p w14:paraId="1D21617A" w14:textId="77777777" w:rsidR="00C465F6" w:rsidRDefault="00C465F6" w:rsidP="00F92B60">
            <w:pPr>
              <w:keepNext/>
            </w:pPr>
          </w:p>
        </w:tc>
      </w:tr>
      <w:tr w:rsidR="00C465F6" w14:paraId="4C28D184" w14:textId="77777777" w:rsidTr="00317950">
        <w:tc>
          <w:tcPr>
            <w:tcW w:w="135" w:type="pct"/>
          </w:tcPr>
          <w:p w14:paraId="74B6D6CB" w14:textId="77777777" w:rsidR="00C465F6" w:rsidRDefault="00C465F6" w:rsidP="00F92B60">
            <w:pPr>
              <w:keepNext/>
            </w:pPr>
          </w:p>
        </w:tc>
        <w:tc>
          <w:tcPr>
            <w:tcW w:w="1418" w:type="pct"/>
            <w:tcBorders>
              <w:top w:val="single" w:sz="4" w:space="0" w:color="auto"/>
            </w:tcBorders>
          </w:tcPr>
          <w:p w14:paraId="255B0DC7" w14:textId="77777777" w:rsidR="00C465F6" w:rsidRDefault="00C465F6" w:rsidP="00F92B60">
            <w:pPr>
              <w:keepNext/>
            </w:pPr>
            <w:r>
              <w:rPr>
                <w:rFonts w:asciiTheme="minorHAnsi" w:hAnsiTheme="minorHAnsi" w:cstheme="minorHAnsi"/>
                <w:szCs w:val="22"/>
              </w:rPr>
              <w:t>Robin Lawther</w:t>
            </w:r>
          </w:p>
        </w:tc>
        <w:tc>
          <w:tcPr>
            <w:tcW w:w="304" w:type="pct"/>
          </w:tcPr>
          <w:p w14:paraId="312C51A7" w14:textId="77777777" w:rsidR="00C465F6" w:rsidRDefault="00C465F6" w:rsidP="00F92B60">
            <w:pPr>
              <w:keepNext/>
            </w:pPr>
          </w:p>
        </w:tc>
        <w:tc>
          <w:tcPr>
            <w:tcW w:w="1420" w:type="pct"/>
            <w:tcBorders>
              <w:top w:val="single" w:sz="4" w:space="0" w:color="auto"/>
            </w:tcBorders>
          </w:tcPr>
          <w:p w14:paraId="0C453CA7" w14:textId="3511FB90" w:rsidR="00C465F6" w:rsidRDefault="00742EF0" w:rsidP="00F92B60">
            <w:pPr>
              <w:keepNext/>
            </w:pPr>
            <w:r w:rsidRPr="00BA79A3">
              <w:rPr>
                <w:rFonts w:asciiTheme="minorHAnsi" w:hAnsiTheme="minorHAnsi" w:cstheme="minorHAnsi"/>
                <w:szCs w:val="22"/>
              </w:rPr>
              <w:t>Kari Stadigh</w:t>
            </w:r>
            <w:r w:rsidDel="00742EF0">
              <w:rPr>
                <w:rFonts w:asciiTheme="minorHAnsi" w:hAnsiTheme="minorHAnsi" w:cstheme="minorHAnsi"/>
                <w:szCs w:val="22"/>
              </w:rPr>
              <w:t xml:space="preserve"> </w:t>
            </w:r>
          </w:p>
        </w:tc>
        <w:tc>
          <w:tcPr>
            <w:tcW w:w="304" w:type="pct"/>
          </w:tcPr>
          <w:p w14:paraId="573482FF" w14:textId="77777777" w:rsidR="00C465F6" w:rsidRDefault="00C465F6" w:rsidP="00F92B60">
            <w:pPr>
              <w:keepNext/>
              <w:rPr>
                <w:rFonts w:asciiTheme="minorHAnsi" w:hAnsiTheme="minorHAnsi" w:cstheme="minorHAnsi"/>
                <w:szCs w:val="22"/>
              </w:rPr>
            </w:pPr>
          </w:p>
        </w:tc>
        <w:tc>
          <w:tcPr>
            <w:tcW w:w="1419" w:type="pct"/>
            <w:tcBorders>
              <w:top w:val="single" w:sz="4" w:space="0" w:color="auto"/>
            </w:tcBorders>
          </w:tcPr>
          <w:p w14:paraId="1492508C" w14:textId="3DCA34B1" w:rsidR="00C465F6" w:rsidRDefault="00742EF0" w:rsidP="00F92B60">
            <w:pPr>
              <w:keepNext/>
              <w:rPr>
                <w:rFonts w:asciiTheme="minorHAnsi" w:hAnsiTheme="minorHAnsi" w:cstheme="minorHAnsi"/>
                <w:szCs w:val="22"/>
              </w:rPr>
            </w:pPr>
            <w:r>
              <w:rPr>
                <w:rFonts w:asciiTheme="minorHAnsi" w:hAnsiTheme="minorHAnsi" w:cstheme="minorHAnsi"/>
                <w:szCs w:val="22"/>
              </w:rPr>
              <w:t xml:space="preserve">Kari Ahola </w:t>
            </w:r>
          </w:p>
        </w:tc>
      </w:tr>
      <w:tr w:rsidR="00C465F6" w14:paraId="2CB140C7" w14:textId="77777777" w:rsidTr="00317950">
        <w:tc>
          <w:tcPr>
            <w:tcW w:w="135" w:type="pct"/>
          </w:tcPr>
          <w:p w14:paraId="54FA99CE" w14:textId="77777777" w:rsidR="00C465F6" w:rsidRDefault="00C465F6" w:rsidP="00F92B60">
            <w:pPr>
              <w:keepNext/>
            </w:pPr>
          </w:p>
        </w:tc>
        <w:tc>
          <w:tcPr>
            <w:tcW w:w="1418" w:type="pct"/>
          </w:tcPr>
          <w:p w14:paraId="2CEB6069" w14:textId="77777777" w:rsidR="00C465F6" w:rsidRDefault="00C465F6" w:rsidP="00F92B60">
            <w:pPr>
              <w:keepNext/>
            </w:pPr>
          </w:p>
        </w:tc>
        <w:tc>
          <w:tcPr>
            <w:tcW w:w="304" w:type="pct"/>
          </w:tcPr>
          <w:p w14:paraId="5CDE5730" w14:textId="77777777" w:rsidR="00C465F6" w:rsidRDefault="00C465F6" w:rsidP="00F92B60">
            <w:pPr>
              <w:keepNext/>
            </w:pPr>
          </w:p>
        </w:tc>
        <w:tc>
          <w:tcPr>
            <w:tcW w:w="1420" w:type="pct"/>
          </w:tcPr>
          <w:p w14:paraId="58C3AB5F" w14:textId="77777777" w:rsidR="00C465F6" w:rsidRDefault="00C465F6" w:rsidP="00F92B60">
            <w:pPr>
              <w:keepNext/>
            </w:pPr>
          </w:p>
        </w:tc>
        <w:tc>
          <w:tcPr>
            <w:tcW w:w="304" w:type="pct"/>
          </w:tcPr>
          <w:p w14:paraId="65923AAB" w14:textId="77777777" w:rsidR="00C465F6" w:rsidRDefault="00C465F6" w:rsidP="00F92B60">
            <w:pPr>
              <w:keepNext/>
            </w:pPr>
          </w:p>
        </w:tc>
        <w:tc>
          <w:tcPr>
            <w:tcW w:w="1419" w:type="pct"/>
          </w:tcPr>
          <w:p w14:paraId="35E1A630" w14:textId="77777777" w:rsidR="00C465F6" w:rsidRDefault="00C465F6" w:rsidP="00F92B60">
            <w:pPr>
              <w:keepNext/>
            </w:pPr>
          </w:p>
        </w:tc>
      </w:tr>
      <w:tr w:rsidR="00C465F6" w14:paraId="52192157" w14:textId="77777777" w:rsidTr="00317950">
        <w:tc>
          <w:tcPr>
            <w:tcW w:w="135" w:type="pct"/>
          </w:tcPr>
          <w:p w14:paraId="270ED4C2" w14:textId="77777777" w:rsidR="00C465F6" w:rsidRDefault="00C465F6" w:rsidP="00F92B60">
            <w:pPr>
              <w:keepNext/>
            </w:pPr>
          </w:p>
        </w:tc>
        <w:tc>
          <w:tcPr>
            <w:tcW w:w="1418" w:type="pct"/>
            <w:tcBorders>
              <w:bottom w:val="single" w:sz="4" w:space="0" w:color="auto"/>
            </w:tcBorders>
          </w:tcPr>
          <w:p w14:paraId="7F04CE5F" w14:textId="77777777" w:rsidR="00C465F6" w:rsidRDefault="00C465F6" w:rsidP="00F92B60">
            <w:pPr>
              <w:keepNext/>
            </w:pPr>
          </w:p>
        </w:tc>
        <w:tc>
          <w:tcPr>
            <w:tcW w:w="304" w:type="pct"/>
          </w:tcPr>
          <w:p w14:paraId="766DFFAE" w14:textId="77777777" w:rsidR="00C465F6" w:rsidRDefault="00C465F6" w:rsidP="00F92B60">
            <w:pPr>
              <w:keepNext/>
            </w:pPr>
          </w:p>
        </w:tc>
        <w:tc>
          <w:tcPr>
            <w:tcW w:w="1420" w:type="pct"/>
            <w:tcBorders>
              <w:bottom w:val="single" w:sz="4" w:space="0" w:color="auto"/>
            </w:tcBorders>
          </w:tcPr>
          <w:p w14:paraId="74F6A913" w14:textId="77777777" w:rsidR="00C465F6" w:rsidRDefault="00C465F6" w:rsidP="00F92B60">
            <w:pPr>
              <w:keepNext/>
            </w:pPr>
          </w:p>
        </w:tc>
        <w:tc>
          <w:tcPr>
            <w:tcW w:w="304" w:type="pct"/>
          </w:tcPr>
          <w:p w14:paraId="35C12947" w14:textId="77777777" w:rsidR="00C465F6" w:rsidRDefault="00C465F6" w:rsidP="00F92B60">
            <w:pPr>
              <w:keepNext/>
            </w:pPr>
          </w:p>
        </w:tc>
        <w:tc>
          <w:tcPr>
            <w:tcW w:w="1419" w:type="pct"/>
            <w:tcBorders>
              <w:bottom w:val="single" w:sz="4" w:space="0" w:color="auto"/>
            </w:tcBorders>
          </w:tcPr>
          <w:p w14:paraId="4E594782" w14:textId="77777777" w:rsidR="00C465F6" w:rsidRDefault="00C465F6" w:rsidP="00F92B60">
            <w:pPr>
              <w:keepNext/>
            </w:pPr>
          </w:p>
        </w:tc>
      </w:tr>
      <w:tr w:rsidR="00C465F6" w14:paraId="17BBD9B3" w14:textId="77777777" w:rsidTr="00317950">
        <w:tc>
          <w:tcPr>
            <w:tcW w:w="135" w:type="pct"/>
          </w:tcPr>
          <w:p w14:paraId="2920DBA7" w14:textId="77777777" w:rsidR="00C465F6" w:rsidRDefault="00C465F6" w:rsidP="00F92B60">
            <w:pPr>
              <w:keepNext/>
            </w:pPr>
          </w:p>
        </w:tc>
        <w:tc>
          <w:tcPr>
            <w:tcW w:w="1418" w:type="pct"/>
            <w:tcBorders>
              <w:top w:val="single" w:sz="4" w:space="0" w:color="auto"/>
            </w:tcBorders>
          </w:tcPr>
          <w:p w14:paraId="6C974F5C" w14:textId="77777777" w:rsidR="00C465F6" w:rsidRDefault="00C465F6" w:rsidP="00F92B60">
            <w:pPr>
              <w:keepNext/>
            </w:pPr>
            <w:r>
              <w:rPr>
                <w:rFonts w:asciiTheme="minorHAnsi" w:hAnsiTheme="minorHAnsi" w:cstheme="minorHAnsi"/>
                <w:szCs w:val="22"/>
              </w:rPr>
              <w:t>Silvija Seres</w:t>
            </w:r>
          </w:p>
        </w:tc>
        <w:tc>
          <w:tcPr>
            <w:tcW w:w="304" w:type="pct"/>
          </w:tcPr>
          <w:p w14:paraId="03CC7762" w14:textId="77777777" w:rsidR="00C465F6" w:rsidRDefault="00C465F6" w:rsidP="00F92B60">
            <w:pPr>
              <w:keepNext/>
            </w:pPr>
          </w:p>
        </w:tc>
        <w:tc>
          <w:tcPr>
            <w:tcW w:w="1420" w:type="pct"/>
            <w:tcBorders>
              <w:top w:val="single" w:sz="4" w:space="0" w:color="auto"/>
            </w:tcBorders>
          </w:tcPr>
          <w:p w14:paraId="560CA0EC" w14:textId="62CB72E4" w:rsidR="00C465F6" w:rsidRDefault="00742EF0" w:rsidP="00F92B60">
            <w:pPr>
              <w:keepNext/>
            </w:pPr>
            <w:r>
              <w:t>Maria Varsellona</w:t>
            </w:r>
            <w:r w:rsidRPr="00BA79A3" w:rsidDel="00742EF0">
              <w:rPr>
                <w:rFonts w:asciiTheme="minorHAnsi" w:hAnsiTheme="minorHAnsi" w:cstheme="minorHAnsi"/>
                <w:szCs w:val="22"/>
              </w:rPr>
              <w:t xml:space="preserve"> </w:t>
            </w:r>
          </w:p>
        </w:tc>
        <w:tc>
          <w:tcPr>
            <w:tcW w:w="304" w:type="pct"/>
          </w:tcPr>
          <w:p w14:paraId="3D867206" w14:textId="77777777" w:rsidR="00C465F6" w:rsidRDefault="00C465F6" w:rsidP="00F92B60">
            <w:pPr>
              <w:keepNext/>
              <w:rPr>
                <w:rFonts w:asciiTheme="minorHAnsi" w:hAnsiTheme="minorHAnsi" w:cstheme="minorHAnsi"/>
                <w:szCs w:val="22"/>
              </w:rPr>
            </w:pPr>
          </w:p>
        </w:tc>
        <w:tc>
          <w:tcPr>
            <w:tcW w:w="1419" w:type="pct"/>
            <w:tcBorders>
              <w:top w:val="single" w:sz="4" w:space="0" w:color="auto"/>
            </w:tcBorders>
          </w:tcPr>
          <w:p w14:paraId="69D1266C" w14:textId="36012BCF" w:rsidR="00C465F6" w:rsidRDefault="00742EF0" w:rsidP="00F92B60">
            <w:pPr>
              <w:keepNext/>
              <w:rPr>
                <w:rFonts w:asciiTheme="minorHAnsi" w:hAnsiTheme="minorHAnsi" w:cstheme="minorHAnsi"/>
                <w:szCs w:val="22"/>
              </w:rPr>
            </w:pPr>
            <w:r>
              <w:rPr>
                <w:rFonts w:asciiTheme="minorHAnsi" w:hAnsiTheme="minorHAnsi" w:cstheme="minorHAnsi"/>
                <w:szCs w:val="22"/>
              </w:rPr>
              <w:t>Toni H. Madsen</w:t>
            </w:r>
            <w:r w:rsidDel="00742EF0">
              <w:rPr>
                <w:rFonts w:asciiTheme="minorHAnsi" w:hAnsiTheme="minorHAnsi" w:cstheme="minorHAnsi"/>
                <w:szCs w:val="22"/>
              </w:rPr>
              <w:t xml:space="preserve"> </w:t>
            </w:r>
          </w:p>
        </w:tc>
      </w:tr>
      <w:tr w:rsidR="00C465F6" w14:paraId="1B5C5347" w14:textId="77777777" w:rsidTr="00317950">
        <w:tc>
          <w:tcPr>
            <w:tcW w:w="135" w:type="pct"/>
          </w:tcPr>
          <w:p w14:paraId="1C9B610D" w14:textId="77777777" w:rsidR="00C465F6" w:rsidRDefault="00C465F6" w:rsidP="00F92B60">
            <w:pPr>
              <w:keepNext/>
            </w:pPr>
          </w:p>
        </w:tc>
        <w:tc>
          <w:tcPr>
            <w:tcW w:w="1418" w:type="pct"/>
          </w:tcPr>
          <w:p w14:paraId="0FE6EBF8" w14:textId="77777777" w:rsidR="00C465F6" w:rsidRDefault="00C465F6" w:rsidP="00F92B60">
            <w:pPr>
              <w:keepNext/>
            </w:pPr>
          </w:p>
        </w:tc>
        <w:tc>
          <w:tcPr>
            <w:tcW w:w="304" w:type="pct"/>
          </w:tcPr>
          <w:p w14:paraId="28F73E12" w14:textId="77777777" w:rsidR="00C465F6" w:rsidRDefault="00C465F6" w:rsidP="00F92B60">
            <w:pPr>
              <w:keepNext/>
            </w:pPr>
          </w:p>
        </w:tc>
        <w:tc>
          <w:tcPr>
            <w:tcW w:w="1420" w:type="pct"/>
          </w:tcPr>
          <w:p w14:paraId="3014FC20" w14:textId="77777777" w:rsidR="00C465F6" w:rsidRDefault="00C465F6" w:rsidP="00F92B60">
            <w:pPr>
              <w:keepNext/>
            </w:pPr>
          </w:p>
        </w:tc>
        <w:tc>
          <w:tcPr>
            <w:tcW w:w="304" w:type="pct"/>
          </w:tcPr>
          <w:p w14:paraId="30192B52" w14:textId="77777777" w:rsidR="00C465F6" w:rsidRDefault="00C465F6" w:rsidP="00F92B60">
            <w:pPr>
              <w:keepNext/>
            </w:pPr>
          </w:p>
        </w:tc>
        <w:tc>
          <w:tcPr>
            <w:tcW w:w="1419" w:type="pct"/>
          </w:tcPr>
          <w:p w14:paraId="509FBE82" w14:textId="77777777" w:rsidR="00C465F6" w:rsidRDefault="00C465F6" w:rsidP="00F92B60">
            <w:pPr>
              <w:keepNext/>
            </w:pPr>
          </w:p>
        </w:tc>
      </w:tr>
      <w:tr w:rsidR="00C465F6" w14:paraId="5BC5648A" w14:textId="77777777" w:rsidTr="00317950">
        <w:tc>
          <w:tcPr>
            <w:tcW w:w="135" w:type="pct"/>
          </w:tcPr>
          <w:p w14:paraId="3FF37A4C" w14:textId="77777777" w:rsidR="00C465F6" w:rsidRDefault="00C465F6" w:rsidP="00F92B60">
            <w:pPr>
              <w:keepNext/>
            </w:pPr>
          </w:p>
        </w:tc>
        <w:tc>
          <w:tcPr>
            <w:tcW w:w="1418" w:type="pct"/>
            <w:tcBorders>
              <w:bottom w:val="single" w:sz="4" w:space="0" w:color="auto"/>
            </w:tcBorders>
          </w:tcPr>
          <w:p w14:paraId="7AA79597" w14:textId="77777777" w:rsidR="00C465F6" w:rsidRDefault="00C465F6" w:rsidP="00F92B60">
            <w:pPr>
              <w:keepNext/>
            </w:pPr>
          </w:p>
        </w:tc>
        <w:tc>
          <w:tcPr>
            <w:tcW w:w="304" w:type="pct"/>
          </w:tcPr>
          <w:p w14:paraId="0A22B5D9" w14:textId="77777777" w:rsidR="00C465F6" w:rsidRDefault="00C465F6" w:rsidP="00F92B60">
            <w:pPr>
              <w:keepNext/>
            </w:pPr>
          </w:p>
        </w:tc>
        <w:tc>
          <w:tcPr>
            <w:tcW w:w="1420" w:type="pct"/>
            <w:tcBorders>
              <w:bottom w:val="single" w:sz="4" w:space="0" w:color="auto"/>
            </w:tcBorders>
          </w:tcPr>
          <w:p w14:paraId="70A70033" w14:textId="77777777" w:rsidR="00C465F6" w:rsidRDefault="00C465F6" w:rsidP="00F92B60">
            <w:pPr>
              <w:keepNext/>
            </w:pPr>
          </w:p>
        </w:tc>
        <w:tc>
          <w:tcPr>
            <w:tcW w:w="304" w:type="pct"/>
          </w:tcPr>
          <w:p w14:paraId="51BF9179" w14:textId="77777777" w:rsidR="00C465F6" w:rsidRDefault="00C465F6" w:rsidP="00F92B60">
            <w:pPr>
              <w:keepNext/>
            </w:pPr>
          </w:p>
        </w:tc>
        <w:tc>
          <w:tcPr>
            <w:tcW w:w="1419" w:type="pct"/>
          </w:tcPr>
          <w:p w14:paraId="3D3CACFE" w14:textId="77777777" w:rsidR="00C465F6" w:rsidRDefault="00C465F6" w:rsidP="00F92B60">
            <w:pPr>
              <w:keepNext/>
            </w:pPr>
          </w:p>
        </w:tc>
      </w:tr>
      <w:tr w:rsidR="00C465F6" w14:paraId="56DE3145" w14:textId="77777777" w:rsidTr="00317950">
        <w:tc>
          <w:tcPr>
            <w:tcW w:w="135" w:type="pct"/>
          </w:tcPr>
          <w:p w14:paraId="3EAEDAEC" w14:textId="77777777" w:rsidR="00C465F6" w:rsidRDefault="00C465F6" w:rsidP="00F92B60">
            <w:pPr>
              <w:keepNext/>
            </w:pPr>
          </w:p>
        </w:tc>
        <w:tc>
          <w:tcPr>
            <w:tcW w:w="1418" w:type="pct"/>
            <w:tcBorders>
              <w:top w:val="single" w:sz="4" w:space="0" w:color="auto"/>
            </w:tcBorders>
          </w:tcPr>
          <w:p w14:paraId="551172F0" w14:textId="77777777" w:rsidR="00C465F6" w:rsidRDefault="00C465F6" w:rsidP="00F92B60">
            <w:pPr>
              <w:keepNext/>
            </w:pPr>
            <w:r>
              <w:rPr>
                <w:rFonts w:asciiTheme="minorHAnsi" w:hAnsiTheme="minorHAnsi" w:cstheme="minorHAnsi"/>
                <w:szCs w:val="22"/>
              </w:rPr>
              <w:t>Lars Wollung</w:t>
            </w:r>
          </w:p>
        </w:tc>
        <w:tc>
          <w:tcPr>
            <w:tcW w:w="304" w:type="pct"/>
          </w:tcPr>
          <w:p w14:paraId="19734DE9" w14:textId="77777777" w:rsidR="00C465F6" w:rsidRDefault="00C465F6" w:rsidP="00F92B60">
            <w:pPr>
              <w:keepNext/>
            </w:pPr>
          </w:p>
        </w:tc>
        <w:tc>
          <w:tcPr>
            <w:tcW w:w="1420" w:type="pct"/>
            <w:tcBorders>
              <w:top w:val="single" w:sz="4" w:space="0" w:color="auto"/>
            </w:tcBorders>
          </w:tcPr>
          <w:p w14:paraId="7780AC9F" w14:textId="37C9C618" w:rsidR="00C465F6" w:rsidRDefault="00742EF0" w:rsidP="00F92B60">
            <w:pPr>
              <w:keepNext/>
            </w:pPr>
            <w:r>
              <w:rPr>
                <w:rFonts w:asciiTheme="minorHAnsi" w:hAnsiTheme="minorHAnsi" w:cstheme="minorHAnsi"/>
                <w:szCs w:val="22"/>
              </w:rPr>
              <w:t>Birger Steen</w:t>
            </w:r>
          </w:p>
        </w:tc>
        <w:tc>
          <w:tcPr>
            <w:tcW w:w="304" w:type="pct"/>
          </w:tcPr>
          <w:p w14:paraId="1E6B4CD2" w14:textId="77777777" w:rsidR="00C465F6" w:rsidRPr="00BA79A3" w:rsidRDefault="00C465F6" w:rsidP="00F92B60">
            <w:pPr>
              <w:keepNext/>
              <w:rPr>
                <w:rFonts w:asciiTheme="minorHAnsi" w:hAnsiTheme="minorHAnsi" w:cstheme="minorHAnsi"/>
                <w:szCs w:val="22"/>
              </w:rPr>
            </w:pPr>
          </w:p>
        </w:tc>
        <w:tc>
          <w:tcPr>
            <w:tcW w:w="1419" w:type="pct"/>
          </w:tcPr>
          <w:p w14:paraId="156ECDE9" w14:textId="1BACC729" w:rsidR="00C465F6" w:rsidRPr="00BA79A3" w:rsidRDefault="00C465F6" w:rsidP="00F92B60">
            <w:pPr>
              <w:keepNext/>
              <w:rPr>
                <w:rFonts w:asciiTheme="minorHAnsi" w:hAnsiTheme="minorHAnsi" w:cstheme="minorHAnsi"/>
                <w:szCs w:val="22"/>
              </w:rPr>
            </w:pPr>
          </w:p>
        </w:tc>
      </w:tr>
      <w:tr w:rsidR="00C465F6" w14:paraId="5E29621C" w14:textId="77777777" w:rsidTr="00317950">
        <w:tc>
          <w:tcPr>
            <w:tcW w:w="135" w:type="pct"/>
          </w:tcPr>
          <w:p w14:paraId="251504CD" w14:textId="77777777" w:rsidR="00C465F6" w:rsidRDefault="00C465F6" w:rsidP="00F92B60">
            <w:pPr>
              <w:keepNext/>
            </w:pPr>
          </w:p>
        </w:tc>
        <w:tc>
          <w:tcPr>
            <w:tcW w:w="1418" w:type="pct"/>
          </w:tcPr>
          <w:p w14:paraId="3265F30E" w14:textId="77777777" w:rsidR="00C465F6" w:rsidRDefault="00C465F6" w:rsidP="00F92B60">
            <w:pPr>
              <w:keepNext/>
            </w:pPr>
          </w:p>
        </w:tc>
        <w:tc>
          <w:tcPr>
            <w:tcW w:w="304" w:type="pct"/>
          </w:tcPr>
          <w:p w14:paraId="0C2A3DF9" w14:textId="77777777" w:rsidR="00C465F6" w:rsidRDefault="00C465F6" w:rsidP="00F92B60">
            <w:pPr>
              <w:keepNext/>
            </w:pPr>
          </w:p>
        </w:tc>
        <w:tc>
          <w:tcPr>
            <w:tcW w:w="1420" w:type="pct"/>
          </w:tcPr>
          <w:p w14:paraId="4B9843C9" w14:textId="77777777" w:rsidR="00C465F6" w:rsidRDefault="00C465F6" w:rsidP="00F92B60">
            <w:pPr>
              <w:keepNext/>
            </w:pPr>
          </w:p>
        </w:tc>
        <w:tc>
          <w:tcPr>
            <w:tcW w:w="304" w:type="pct"/>
          </w:tcPr>
          <w:p w14:paraId="2B6D570E" w14:textId="77777777" w:rsidR="00C465F6" w:rsidRDefault="00C465F6" w:rsidP="00F92B60">
            <w:pPr>
              <w:keepNext/>
            </w:pPr>
          </w:p>
        </w:tc>
        <w:tc>
          <w:tcPr>
            <w:tcW w:w="1419" w:type="pct"/>
          </w:tcPr>
          <w:p w14:paraId="1CB1702E" w14:textId="77777777" w:rsidR="00C465F6" w:rsidRDefault="00C465F6" w:rsidP="00F92B60">
            <w:pPr>
              <w:keepNext/>
            </w:pPr>
          </w:p>
        </w:tc>
      </w:tr>
      <w:tr w:rsidR="00C465F6" w14:paraId="126A781C" w14:textId="77777777" w:rsidTr="00317950">
        <w:tc>
          <w:tcPr>
            <w:tcW w:w="135" w:type="pct"/>
          </w:tcPr>
          <w:p w14:paraId="74A5BE5C" w14:textId="77777777" w:rsidR="00C465F6" w:rsidRDefault="00C465F6" w:rsidP="00F92B60">
            <w:pPr>
              <w:keepNext/>
            </w:pPr>
          </w:p>
        </w:tc>
        <w:tc>
          <w:tcPr>
            <w:tcW w:w="1418" w:type="pct"/>
            <w:tcBorders>
              <w:bottom w:val="single" w:sz="4" w:space="0" w:color="auto"/>
            </w:tcBorders>
          </w:tcPr>
          <w:p w14:paraId="1584C8BC" w14:textId="77777777" w:rsidR="00C465F6" w:rsidRDefault="00C465F6" w:rsidP="00F92B60">
            <w:pPr>
              <w:keepNext/>
            </w:pPr>
          </w:p>
        </w:tc>
        <w:tc>
          <w:tcPr>
            <w:tcW w:w="304" w:type="pct"/>
          </w:tcPr>
          <w:p w14:paraId="22158AC6" w14:textId="77777777" w:rsidR="00C465F6" w:rsidRDefault="00C465F6" w:rsidP="00F92B60">
            <w:pPr>
              <w:keepNext/>
            </w:pPr>
          </w:p>
        </w:tc>
        <w:tc>
          <w:tcPr>
            <w:tcW w:w="1420" w:type="pct"/>
            <w:tcBorders>
              <w:bottom w:val="single" w:sz="4" w:space="0" w:color="auto"/>
            </w:tcBorders>
          </w:tcPr>
          <w:p w14:paraId="2F79836E" w14:textId="77777777" w:rsidR="00C465F6" w:rsidRDefault="00C465F6" w:rsidP="00F92B60">
            <w:pPr>
              <w:keepNext/>
            </w:pPr>
          </w:p>
        </w:tc>
        <w:tc>
          <w:tcPr>
            <w:tcW w:w="304" w:type="pct"/>
          </w:tcPr>
          <w:p w14:paraId="63B3E0F6" w14:textId="77777777" w:rsidR="00C465F6" w:rsidRDefault="00C465F6" w:rsidP="00F92B60">
            <w:pPr>
              <w:keepNext/>
            </w:pPr>
          </w:p>
        </w:tc>
        <w:tc>
          <w:tcPr>
            <w:tcW w:w="1419" w:type="pct"/>
          </w:tcPr>
          <w:p w14:paraId="06CA1A95" w14:textId="77777777" w:rsidR="00C465F6" w:rsidRDefault="00C465F6" w:rsidP="00F92B60">
            <w:pPr>
              <w:keepNext/>
            </w:pPr>
          </w:p>
        </w:tc>
      </w:tr>
      <w:tr w:rsidR="00C465F6" w14:paraId="7B7979BB" w14:textId="77777777" w:rsidTr="00317950">
        <w:tc>
          <w:tcPr>
            <w:tcW w:w="135" w:type="pct"/>
          </w:tcPr>
          <w:p w14:paraId="198E8392" w14:textId="77777777" w:rsidR="00C465F6" w:rsidRDefault="00C465F6" w:rsidP="00F92B60">
            <w:pPr>
              <w:keepNext/>
            </w:pPr>
          </w:p>
        </w:tc>
        <w:tc>
          <w:tcPr>
            <w:tcW w:w="1418" w:type="pct"/>
            <w:tcBorders>
              <w:top w:val="single" w:sz="4" w:space="0" w:color="auto"/>
            </w:tcBorders>
          </w:tcPr>
          <w:p w14:paraId="0B5A30C3" w14:textId="0E4E2200" w:rsidR="00C465F6" w:rsidRDefault="00C465F6" w:rsidP="00F92B60">
            <w:pPr>
              <w:keepNext/>
            </w:pPr>
            <w:r>
              <w:rPr>
                <w:rFonts w:asciiTheme="minorHAnsi" w:hAnsiTheme="minorHAnsi" w:cstheme="minorHAnsi"/>
                <w:szCs w:val="22"/>
              </w:rPr>
              <w:t>Pernille Erenb</w:t>
            </w:r>
            <w:r w:rsidR="00395DEA">
              <w:rPr>
                <w:rFonts w:asciiTheme="minorHAnsi" w:hAnsiTheme="minorHAnsi" w:cstheme="minorHAnsi"/>
                <w:szCs w:val="22"/>
              </w:rPr>
              <w:t>j</w:t>
            </w:r>
            <w:r>
              <w:rPr>
                <w:rFonts w:asciiTheme="minorHAnsi" w:hAnsiTheme="minorHAnsi" w:cstheme="minorHAnsi"/>
                <w:szCs w:val="22"/>
              </w:rPr>
              <w:t>erg</w:t>
            </w:r>
          </w:p>
        </w:tc>
        <w:tc>
          <w:tcPr>
            <w:tcW w:w="304" w:type="pct"/>
          </w:tcPr>
          <w:p w14:paraId="1E0D6F93" w14:textId="77777777" w:rsidR="00C465F6" w:rsidRDefault="00C465F6" w:rsidP="00F92B60">
            <w:pPr>
              <w:keepNext/>
            </w:pPr>
          </w:p>
        </w:tc>
        <w:tc>
          <w:tcPr>
            <w:tcW w:w="1420" w:type="pct"/>
            <w:tcBorders>
              <w:top w:val="single" w:sz="4" w:space="0" w:color="auto"/>
            </w:tcBorders>
          </w:tcPr>
          <w:p w14:paraId="047E1FDD" w14:textId="11B359F9" w:rsidR="00C465F6" w:rsidRDefault="00742EF0" w:rsidP="00F92B60">
            <w:pPr>
              <w:keepNext/>
            </w:pPr>
            <w:r>
              <w:rPr>
                <w:rFonts w:asciiTheme="minorHAnsi" w:hAnsiTheme="minorHAnsi" w:cstheme="minorHAnsi"/>
                <w:szCs w:val="22"/>
              </w:rPr>
              <w:t>Sarah Russell</w:t>
            </w:r>
            <w:r w:rsidDel="00742EF0">
              <w:t xml:space="preserve"> </w:t>
            </w:r>
          </w:p>
        </w:tc>
        <w:tc>
          <w:tcPr>
            <w:tcW w:w="304" w:type="pct"/>
          </w:tcPr>
          <w:p w14:paraId="7599235E" w14:textId="77777777" w:rsidR="00C465F6" w:rsidRDefault="00C465F6" w:rsidP="00F92B60">
            <w:pPr>
              <w:keepNext/>
              <w:rPr>
                <w:rFonts w:asciiTheme="minorHAnsi" w:hAnsiTheme="minorHAnsi" w:cstheme="minorHAnsi"/>
                <w:szCs w:val="22"/>
              </w:rPr>
            </w:pPr>
          </w:p>
        </w:tc>
        <w:tc>
          <w:tcPr>
            <w:tcW w:w="1419" w:type="pct"/>
          </w:tcPr>
          <w:p w14:paraId="0EEED54C" w14:textId="77777777" w:rsidR="00C465F6" w:rsidRDefault="00C465F6" w:rsidP="00F92B60">
            <w:pPr>
              <w:keepNext/>
              <w:rPr>
                <w:rFonts w:asciiTheme="minorHAnsi" w:hAnsiTheme="minorHAnsi" w:cstheme="minorHAnsi"/>
                <w:szCs w:val="22"/>
              </w:rPr>
            </w:pPr>
          </w:p>
        </w:tc>
      </w:tr>
    </w:tbl>
    <w:p w14:paraId="7E3FF2D1" w14:textId="77777777" w:rsidR="00C465F6" w:rsidRPr="00E84677" w:rsidRDefault="00C465F6" w:rsidP="00C465F6">
      <w:pPr>
        <w:rPr>
          <w:lang w:val="en-GB"/>
        </w:rPr>
      </w:pPr>
    </w:p>
    <w:p w14:paraId="709CD2F3" w14:textId="5CB8F5BF" w:rsidR="00AD7E62" w:rsidRDefault="00AD7E62" w:rsidP="00C465F6">
      <w:r w:rsidRPr="001E1672">
        <w:lastRenderedPageBreak/>
        <w:t>Stockholm/Tukholma,</w:t>
      </w:r>
      <w:r>
        <w:t xml:space="preserve"> </w:t>
      </w:r>
      <w:r w:rsidR="005C3266" w:rsidRPr="005C3266">
        <w:t xml:space="preserve">den 25 </w:t>
      </w:r>
      <w:r w:rsidR="00875871">
        <w:t>o</w:t>
      </w:r>
      <w:r w:rsidR="005C3266" w:rsidRPr="005C3266">
        <w:t xml:space="preserve">ktober 2017 / </w:t>
      </w:r>
      <w:r>
        <w:t>25 October</w:t>
      </w:r>
      <w:r w:rsidR="00395DEA">
        <w:t xml:space="preserve"> 2017</w:t>
      </w:r>
      <w:r w:rsidR="005C3266">
        <w:t xml:space="preserve"> </w:t>
      </w:r>
      <w:r w:rsidR="005C3266" w:rsidRPr="005C3266">
        <w:t>/ 25. lokakuuta 2017</w:t>
      </w:r>
    </w:p>
    <w:tbl>
      <w:tblPr>
        <w:tblStyle w:val="Tabellrutnt"/>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
        <w:gridCol w:w="3739"/>
        <w:gridCol w:w="802"/>
        <w:gridCol w:w="3744"/>
        <w:gridCol w:w="802"/>
        <w:gridCol w:w="3741"/>
      </w:tblGrid>
      <w:tr w:rsidR="00DD0E0A" w:rsidRPr="00D56D80" w14:paraId="40E20C7F" w14:textId="77777777" w:rsidTr="00317950">
        <w:tc>
          <w:tcPr>
            <w:tcW w:w="135" w:type="pct"/>
          </w:tcPr>
          <w:p w14:paraId="2C62E516" w14:textId="77777777" w:rsidR="00DD0E0A" w:rsidRDefault="00DD0E0A" w:rsidP="00A47F48">
            <w:pPr>
              <w:keepNext/>
            </w:pPr>
          </w:p>
        </w:tc>
        <w:tc>
          <w:tcPr>
            <w:tcW w:w="3142" w:type="pct"/>
            <w:gridSpan w:val="3"/>
          </w:tcPr>
          <w:p w14:paraId="68FB35B6" w14:textId="77777777" w:rsidR="00DD0E0A" w:rsidRDefault="00DD0E0A" w:rsidP="00A47F48">
            <w:pPr>
              <w:keepNext/>
              <w:rPr>
                <w:i/>
                <w:lang w:val="en-GB"/>
              </w:rPr>
            </w:pPr>
            <w:r>
              <w:rPr>
                <w:lang w:val="en-GB"/>
              </w:rPr>
              <w:t>Styrelsen/Board of directors</w:t>
            </w:r>
            <w:r w:rsidRPr="009E04A4">
              <w:rPr>
                <w:lang w:val="en-GB"/>
              </w:rPr>
              <w:t>/Hallitus</w:t>
            </w:r>
          </w:p>
          <w:p w14:paraId="08487437" w14:textId="77777777" w:rsidR="00DD0E0A" w:rsidRDefault="00DD0E0A" w:rsidP="00A47F48">
            <w:pPr>
              <w:keepNext/>
              <w:rPr>
                <w:lang w:val="en-GB"/>
              </w:rPr>
            </w:pPr>
            <w:r>
              <w:rPr>
                <w:caps/>
                <w:lang w:val="en-GB"/>
              </w:rPr>
              <w:t>Nordea holding abp</w:t>
            </w:r>
          </w:p>
        </w:tc>
        <w:tc>
          <w:tcPr>
            <w:tcW w:w="304" w:type="pct"/>
          </w:tcPr>
          <w:p w14:paraId="5E9F2770" w14:textId="77777777" w:rsidR="00DD0E0A" w:rsidRDefault="00DD0E0A" w:rsidP="00A47F48">
            <w:pPr>
              <w:keepNext/>
              <w:rPr>
                <w:lang w:val="en-GB"/>
              </w:rPr>
            </w:pPr>
          </w:p>
        </w:tc>
        <w:tc>
          <w:tcPr>
            <w:tcW w:w="1419" w:type="pct"/>
          </w:tcPr>
          <w:p w14:paraId="1AB8DC24" w14:textId="77777777" w:rsidR="00DD0E0A" w:rsidRDefault="00DD0E0A" w:rsidP="00A47F48">
            <w:pPr>
              <w:keepNext/>
              <w:rPr>
                <w:lang w:val="en-GB"/>
              </w:rPr>
            </w:pPr>
          </w:p>
        </w:tc>
      </w:tr>
      <w:tr w:rsidR="00DD0E0A" w:rsidRPr="00D56D80" w14:paraId="16D138FB" w14:textId="77777777" w:rsidTr="00317950">
        <w:tc>
          <w:tcPr>
            <w:tcW w:w="135" w:type="pct"/>
          </w:tcPr>
          <w:p w14:paraId="3F6F5265" w14:textId="77777777" w:rsidR="00DD0E0A" w:rsidRDefault="00DD0E0A" w:rsidP="00A47F48">
            <w:pPr>
              <w:keepNext/>
              <w:rPr>
                <w:lang w:val="en-GB"/>
              </w:rPr>
            </w:pPr>
          </w:p>
        </w:tc>
        <w:tc>
          <w:tcPr>
            <w:tcW w:w="1418" w:type="pct"/>
          </w:tcPr>
          <w:p w14:paraId="2CB8B00E" w14:textId="77777777" w:rsidR="00DD0E0A" w:rsidRDefault="00DD0E0A" w:rsidP="00A47F48">
            <w:pPr>
              <w:keepNext/>
              <w:rPr>
                <w:lang w:val="en-GB"/>
              </w:rPr>
            </w:pPr>
          </w:p>
        </w:tc>
        <w:tc>
          <w:tcPr>
            <w:tcW w:w="304" w:type="pct"/>
          </w:tcPr>
          <w:p w14:paraId="4446C7E0" w14:textId="77777777" w:rsidR="00DD0E0A" w:rsidRDefault="00DD0E0A" w:rsidP="00A47F48">
            <w:pPr>
              <w:keepNext/>
              <w:rPr>
                <w:lang w:val="en-GB"/>
              </w:rPr>
            </w:pPr>
          </w:p>
        </w:tc>
        <w:tc>
          <w:tcPr>
            <w:tcW w:w="1420" w:type="pct"/>
          </w:tcPr>
          <w:p w14:paraId="6A6EBE74" w14:textId="77777777" w:rsidR="00DD0E0A" w:rsidRDefault="00DD0E0A" w:rsidP="00A47F48">
            <w:pPr>
              <w:keepNext/>
              <w:rPr>
                <w:lang w:val="en-GB"/>
              </w:rPr>
            </w:pPr>
          </w:p>
        </w:tc>
        <w:tc>
          <w:tcPr>
            <w:tcW w:w="304" w:type="pct"/>
          </w:tcPr>
          <w:p w14:paraId="358D5F6D" w14:textId="77777777" w:rsidR="00DD0E0A" w:rsidRDefault="00DD0E0A" w:rsidP="00A47F48">
            <w:pPr>
              <w:keepNext/>
              <w:rPr>
                <w:lang w:val="en-GB"/>
              </w:rPr>
            </w:pPr>
          </w:p>
        </w:tc>
        <w:tc>
          <w:tcPr>
            <w:tcW w:w="1419" w:type="pct"/>
          </w:tcPr>
          <w:p w14:paraId="0B92B909" w14:textId="77777777" w:rsidR="00DD0E0A" w:rsidRDefault="00DD0E0A" w:rsidP="00A47F48">
            <w:pPr>
              <w:keepNext/>
              <w:rPr>
                <w:lang w:val="en-GB"/>
              </w:rPr>
            </w:pPr>
          </w:p>
        </w:tc>
      </w:tr>
      <w:tr w:rsidR="00DD0E0A" w:rsidRPr="00D56D80" w14:paraId="74BA7B11" w14:textId="77777777" w:rsidTr="00317950">
        <w:tc>
          <w:tcPr>
            <w:tcW w:w="135" w:type="pct"/>
          </w:tcPr>
          <w:p w14:paraId="7383BD30" w14:textId="77777777" w:rsidR="00DD0E0A" w:rsidRDefault="00DD0E0A" w:rsidP="00A47F48">
            <w:pPr>
              <w:keepNext/>
              <w:rPr>
                <w:lang w:val="en-GB"/>
              </w:rPr>
            </w:pPr>
          </w:p>
        </w:tc>
        <w:tc>
          <w:tcPr>
            <w:tcW w:w="1418" w:type="pct"/>
            <w:tcBorders>
              <w:bottom w:val="single" w:sz="4" w:space="0" w:color="auto"/>
            </w:tcBorders>
          </w:tcPr>
          <w:p w14:paraId="1FFDC9A2" w14:textId="77777777" w:rsidR="00DD0E0A" w:rsidRPr="00AA5A5E" w:rsidRDefault="00DD0E0A" w:rsidP="00A47F48">
            <w:pPr>
              <w:keepNext/>
              <w:rPr>
                <w:rFonts w:asciiTheme="minorHAnsi" w:hAnsiTheme="minorHAnsi" w:cstheme="minorHAnsi"/>
                <w:szCs w:val="22"/>
                <w:lang w:val="en-GB"/>
              </w:rPr>
            </w:pPr>
          </w:p>
        </w:tc>
        <w:tc>
          <w:tcPr>
            <w:tcW w:w="304" w:type="pct"/>
          </w:tcPr>
          <w:p w14:paraId="662D149B" w14:textId="77777777" w:rsidR="00DD0E0A" w:rsidRPr="00AA5A5E" w:rsidRDefault="00DD0E0A" w:rsidP="00A47F48">
            <w:pPr>
              <w:keepNext/>
              <w:rPr>
                <w:rFonts w:asciiTheme="minorHAnsi" w:hAnsiTheme="minorHAnsi" w:cstheme="minorHAnsi"/>
                <w:szCs w:val="22"/>
                <w:lang w:val="en-GB"/>
              </w:rPr>
            </w:pPr>
          </w:p>
        </w:tc>
        <w:tc>
          <w:tcPr>
            <w:tcW w:w="1420" w:type="pct"/>
            <w:tcBorders>
              <w:bottom w:val="single" w:sz="4" w:space="0" w:color="auto"/>
            </w:tcBorders>
          </w:tcPr>
          <w:p w14:paraId="6A7C6675" w14:textId="77777777" w:rsidR="00DD0E0A" w:rsidRPr="00AA5A5E" w:rsidRDefault="00DD0E0A" w:rsidP="00A47F48">
            <w:pPr>
              <w:rPr>
                <w:rFonts w:asciiTheme="minorHAnsi" w:hAnsiTheme="minorHAnsi" w:cstheme="minorHAnsi"/>
                <w:szCs w:val="22"/>
                <w:lang w:val="en-GB"/>
              </w:rPr>
            </w:pPr>
          </w:p>
        </w:tc>
        <w:tc>
          <w:tcPr>
            <w:tcW w:w="304" w:type="pct"/>
          </w:tcPr>
          <w:p w14:paraId="417382C7" w14:textId="77777777" w:rsidR="00DD0E0A" w:rsidRPr="00AA5A5E" w:rsidRDefault="00DD0E0A" w:rsidP="00A47F48">
            <w:pPr>
              <w:keepNext/>
              <w:rPr>
                <w:rFonts w:asciiTheme="minorHAnsi" w:hAnsiTheme="minorHAnsi" w:cstheme="minorHAnsi"/>
                <w:szCs w:val="22"/>
                <w:lang w:val="en-GB"/>
              </w:rPr>
            </w:pPr>
          </w:p>
        </w:tc>
        <w:tc>
          <w:tcPr>
            <w:tcW w:w="1419" w:type="pct"/>
            <w:tcBorders>
              <w:bottom w:val="single" w:sz="4" w:space="0" w:color="auto"/>
            </w:tcBorders>
          </w:tcPr>
          <w:p w14:paraId="076CD1D5" w14:textId="77777777" w:rsidR="00DD0E0A" w:rsidRPr="00AA5A5E" w:rsidRDefault="00DD0E0A" w:rsidP="00A47F48">
            <w:pPr>
              <w:keepNext/>
              <w:rPr>
                <w:rFonts w:asciiTheme="minorHAnsi" w:hAnsiTheme="minorHAnsi" w:cstheme="minorHAnsi"/>
                <w:szCs w:val="22"/>
                <w:lang w:val="en-GB"/>
              </w:rPr>
            </w:pPr>
          </w:p>
        </w:tc>
      </w:tr>
      <w:tr w:rsidR="00DD0E0A" w14:paraId="54A164E4" w14:textId="77777777" w:rsidTr="00317950">
        <w:tc>
          <w:tcPr>
            <w:tcW w:w="135" w:type="pct"/>
          </w:tcPr>
          <w:p w14:paraId="31103F33" w14:textId="77777777" w:rsidR="00DD0E0A" w:rsidRPr="00AA5A5E" w:rsidRDefault="00DD0E0A" w:rsidP="00A47F48">
            <w:pPr>
              <w:keepNext/>
              <w:rPr>
                <w:lang w:val="en-GB"/>
              </w:rPr>
            </w:pPr>
          </w:p>
        </w:tc>
        <w:tc>
          <w:tcPr>
            <w:tcW w:w="1418" w:type="pct"/>
            <w:tcBorders>
              <w:top w:val="single" w:sz="4" w:space="0" w:color="auto"/>
            </w:tcBorders>
          </w:tcPr>
          <w:p w14:paraId="57556350" w14:textId="77777777" w:rsidR="00DD0E0A" w:rsidRPr="009143A7" w:rsidRDefault="00DD0E0A" w:rsidP="00A47F48">
            <w:pPr>
              <w:keepNext/>
              <w:rPr>
                <w:rFonts w:asciiTheme="minorHAnsi" w:hAnsiTheme="minorHAnsi" w:cstheme="minorHAnsi"/>
                <w:szCs w:val="22"/>
              </w:rPr>
            </w:pPr>
            <w:r>
              <w:rPr>
                <w:rFonts w:asciiTheme="minorHAnsi" w:hAnsiTheme="minorHAnsi" w:cstheme="minorHAnsi"/>
                <w:szCs w:val="22"/>
              </w:rPr>
              <w:t>Björn Wahlroos</w:t>
            </w:r>
          </w:p>
        </w:tc>
        <w:tc>
          <w:tcPr>
            <w:tcW w:w="304" w:type="pct"/>
          </w:tcPr>
          <w:p w14:paraId="01CFE176" w14:textId="77777777" w:rsidR="00DD0E0A" w:rsidRPr="009143A7" w:rsidRDefault="00DD0E0A" w:rsidP="00A47F48">
            <w:pPr>
              <w:keepNext/>
              <w:rPr>
                <w:rFonts w:asciiTheme="minorHAnsi" w:hAnsiTheme="minorHAnsi" w:cstheme="minorHAnsi"/>
                <w:szCs w:val="22"/>
              </w:rPr>
            </w:pPr>
          </w:p>
        </w:tc>
        <w:tc>
          <w:tcPr>
            <w:tcW w:w="1420" w:type="pct"/>
            <w:tcBorders>
              <w:top w:val="single" w:sz="4" w:space="0" w:color="auto"/>
            </w:tcBorders>
          </w:tcPr>
          <w:p w14:paraId="1F0926D7" w14:textId="77777777" w:rsidR="00DD0E0A" w:rsidRPr="009143A7" w:rsidRDefault="00DD0E0A" w:rsidP="00A47F48">
            <w:pPr>
              <w:keepNext/>
              <w:rPr>
                <w:rFonts w:asciiTheme="minorHAnsi" w:hAnsiTheme="minorHAnsi" w:cstheme="minorHAnsi"/>
                <w:szCs w:val="22"/>
              </w:rPr>
            </w:pPr>
            <w:r>
              <w:rPr>
                <w:rFonts w:asciiTheme="minorHAnsi" w:hAnsiTheme="minorHAnsi" w:cstheme="minorHAnsi"/>
                <w:szCs w:val="22"/>
              </w:rPr>
              <w:t>Lars G Nordström</w:t>
            </w:r>
          </w:p>
        </w:tc>
        <w:tc>
          <w:tcPr>
            <w:tcW w:w="304" w:type="pct"/>
          </w:tcPr>
          <w:p w14:paraId="3D23B7B6" w14:textId="77777777" w:rsidR="00DD0E0A" w:rsidRDefault="00DD0E0A" w:rsidP="00A47F48">
            <w:pPr>
              <w:keepNext/>
            </w:pPr>
          </w:p>
        </w:tc>
        <w:tc>
          <w:tcPr>
            <w:tcW w:w="1419" w:type="pct"/>
            <w:tcBorders>
              <w:top w:val="single" w:sz="4" w:space="0" w:color="auto"/>
            </w:tcBorders>
          </w:tcPr>
          <w:p w14:paraId="1E4B950A" w14:textId="77777777" w:rsidR="00DD0E0A" w:rsidRDefault="00DD0E0A" w:rsidP="00A47F48">
            <w:pPr>
              <w:keepNext/>
            </w:pPr>
            <w:r>
              <w:rPr>
                <w:rFonts w:asciiTheme="minorHAnsi" w:hAnsiTheme="minorHAnsi" w:cstheme="minorHAnsi"/>
                <w:szCs w:val="22"/>
              </w:rPr>
              <w:t>Robin Lawther</w:t>
            </w:r>
          </w:p>
        </w:tc>
      </w:tr>
      <w:tr w:rsidR="00DD0E0A" w14:paraId="4BD8067A" w14:textId="77777777" w:rsidTr="00317950">
        <w:tc>
          <w:tcPr>
            <w:tcW w:w="135" w:type="pct"/>
          </w:tcPr>
          <w:p w14:paraId="4EA86AE0" w14:textId="77777777" w:rsidR="00DD0E0A" w:rsidRDefault="00DD0E0A" w:rsidP="00A47F48">
            <w:pPr>
              <w:keepNext/>
            </w:pPr>
          </w:p>
        </w:tc>
        <w:tc>
          <w:tcPr>
            <w:tcW w:w="1418" w:type="pct"/>
          </w:tcPr>
          <w:p w14:paraId="2E18EA5E" w14:textId="77777777" w:rsidR="00DD0E0A" w:rsidRDefault="00DD0E0A" w:rsidP="00A47F48">
            <w:pPr>
              <w:keepNext/>
              <w:rPr>
                <w:rFonts w:asciiTheme="minorHAnsi" w:hAnsiTheme="minorHAnsi" w:cstheme="minorHAnsi"/>
                <w:szCs w:val="22"/>
              </w:rPr>
            </w:pPr>
          </w:p>
        </w:tc>
        <w:tc>
          <w:tcPr>
            <w:tcW w:w="304" w:type="pct"/>
          </w:tcPr>
          <w:p w14:paraId="0CE3ED92" w14:textId="77777777" w:rsidR="00DD0E0A" w:rsidRPr="009143A7" w:rsidRDefault="00DD0E0A" w:rsidP="00A47F48">
            <w:pPr>
              <w:keepNext/>
              <w:rPr>
                <w:rFonts w:asciiTheme="minorHAnsi" w:hAnsiTheme="minorHAnsi" w:cstheme="minorHAnsi"/>
                <w:szCs w:val="22"/>
              </w:rPr>
            </w:pPr>
          </w:p>
        </w:tc>
        <w:tc>
          <w:tcPr>
            <w:tcW w:w="1420" w:type="pct"/>
          </w:tcPr>
          <w:p w14:paraId="1F1DB037" w14:textId="77777777" w:rsidR="00DD0E0A" w:rsidRDefault="00DD0E0A" w:rsidP="00A47F48">
            <w:pPr>
              <w:keepNext/>
              <w:rPr>
                <w:rFonts w:asciiTheme="minorHAnsi" w:hAnsiTheme="minorHAnsi" w:cstheme="minorHAnsi"/>
                <w:szCs w:val="22"/>
              </w:rPr>
            </w:pPr>
          </w:p>
        </w:tc>
        <w:tc>
          <w:tcPr>
            <w:tcW w:w="304" w:type="pct"/>
          </w:tcPr>
          <w:p w14:paraId="50FDEDF8" w14:textId="77777777" w:rsidR="00DD0E0A" w:rsidRDefault="00DD0E0A" w:rsidP="00A47F48">
            <w:pPr>
              <w:keepNext/>
            </w:pPr>
          </w:p>
        </w:tc>
        <w:tc>
          <w:tcPr>
            <w:tcW w:w="1419" w:type="pct"/>
          </w:tcPr>
          <w:p w14:paraId="389F2194" w14:textId="77777777" w:rsidR="00DD0E0A" w:rsidRDefault="00DD0E0A" w:rsidP="00A47F48">
            <w:pPr>
              <w:keepNext/>
              <w:rPr>
                <w:rFonts w:asciiTheme="minorHAnsi" w:hAnsiTheme="minorHAnsi" w:cstheme="minorHAnsi"/>
                <w:szCs w:val="22"/>
              </w:rPr>
            </w:pPr>
          </w:p>
        </w:tc>
      </w:tr>
      <w:tr w:rsidR="00DD0E0A" w14:paraId="311C4633" w14:textId="77777777" w:rsidTr="00317950">
        <w:tc>
          <w:tcPr>
            <w:tcW w:w="135" w:type="pct"/>
          </w:tcPr>
          <w:p w14:paraId="397D5CBF" w14:textId="77777777" w:rsidR="00DD0E0A" w:rsidRDefault="00DD0E0A" w:rsidP="00A47F48">
            <w:pPr>
              <w:keepNext/>
            </w:pPr>
          </w:p>
        </w:tc>
        <w:tc>
          <w:tcPr>
            <w:tcW w:w="1418" w:type="pct"/>
            <w:tcBorders>
              <w:bottom w:val="single" w:sz="4" w:space="0" w:color="auto"/>
            </w:tcBorders>
          </w:tcPr>
          <w:p w14:paraId="195BF0D8" w14:textId="77777777" w:rsidR="00DD0E0A" w:rsidRDefault="00DD0E0A" w:rsidP="00A47F48">
            <w:pPr>
              <w:keepNext/>
              <w:rPr>
                <w:rFonts w:asciiTheme="minorHAnsi" w:hAnsiTheme="minorHAnsi" w:cstheme="minorHAnsi"/>
                <w:szCs w:val="22"/>
              </w:rPr>
            </w:pPr>
          </w:p>
        </w:tc>
        <w:tc>
          <w:tcPr>
            <w:tcW w:w="304" w:type="pct"/>
          </w:tcPr>
          <w:p w14:paraId="77333FB2" w14:textId="77777777" w:rsidR="00DD0E0A" w:rsidRPr="009143A7" w:rsidRDefault="00DD0E0A" w:rsidP="00A47F48">
            <w:pPr>
              <w:keepNext/>
              <w:rPr>
                <w:rFonts w:asciiTheme="minorHAnsi" w:hAnsiTheme="minorHAnsi" w:cstheme="minorHAnsi"/>
                <w:szCs w:val="22"/>
              </w:rPr>
            </w:pPr>
          </w:p>
        </w:tc>
        <w:tc>
          <w:tcPr>
            <w:tcW w:w="1420" w:type="pct"/>
            <w:tcBorders>
              <w:bottom w:val="single" w:sz="4" w:space="0" w:color="auto"/>
            </w:tcBorders>
          </w:tcPr>
          <w:p w14:paraId="041F7678" w14:textId="77777777" w:rsidR="00DD0E0A" w:rsidRDefault="00DD0E0A" w:rsidP="00A47F48">
            <w:pPr>
              <w:keepNext/>
              <w:rPr>
                <w:rFonts w:asciiTheme="minorHAnsi" w:hAnsiTheme="minorHAnsi" w:cstheme="minorHAnsi"/>
                <w:szCs w:val="22"/>
              </w:rPr>
            </w:pPr>
          </w:p>
        </w:tc>
        <w:tc>
          <w:tcPr>
            <w:tcW w:w="304" w:type="pct"/>
          </w:tcPr>
          <w:p w14:paraId="46109529" w14:textId="77777777" w:rsidR="00DD0E0A" w:rsidRDefault="00DD0E0A" w:rsidP="00A47F48">
            <w:pPr>
              <w:keepNext/>
            </w:pPr>
          </w:p>
        </w:tc>
        <w:tc>
          <w:tcPr>
            <w:tcW w:w="1419" w:type="pct"/>
            <w:tcBorders>
              <w:bottom w:val="single" w:sz="4" w:space="0" w:color="auto"/>
            </w:tcBorders>
          </w:tcPr>
          <w:p w14:paraId="05372F3F" w14:textId="77777777" w:rsidR="00DD0E0A" w:rsidRDefault="00DD0E0A" w:rsidP="00A47F48">
            <w:pPr>
              <w:keepNext/>
              <w:rPr>
                <w:rFonts w:asciiTheme="minorHAnsi" w:hAnsiTheme="minorHAnsi" w:cstheme="minorHAnsi"/>
                <w:szCs w:val="22"/>
              </w:rPr>
            </w:pPr>
          </w:p>
        </w:tc>
      </w:tr>
      <w:tr w:rsidR="00DD0E0A" w14:paraId="37F629CF" w14:textId="77777777" w:rsidTr="00317950">
        <w:tc>
          <w:tcPr>
            <w:tcW w:w="135" w:type="pct"/>
          </w:tcPr>
          <w:p w14:paraId="24BDE2DA" w14:textId="77777777" w:rsidR="00DD0E0A" w:rsidRDefault="00DD0E0A" w:rsidP="00A47F48">
            <w:pPr>
              <w:keepNext/>
            </w:pPr>
          </w:p>
        </w:tc>
        <w:tc>
          <w:tcPr>
            <w:tcW w:w="1418" w:type="pct"/>
            <w:tcBorders>
              <w:top w:val="single" w:sz="4" w:space="0" w:color="auto"/>
            </w:tcBorders>
          </w:tcPr>
          <w:p w14:paraId="23B4943F" w14:textId="77777777" w:rsidR="00DD0E0A" w:rsidRDefault="00DD0E0A" w:rsidP="00A47F48">
            <w:pPr>
              <w:keepNext/>
              <w:rPr>
                <w:rFonts w:asciiTheme="minorHAnsi" w:hAnsiTheme="minorHAnsi" w:cstheme="minorHAnsi"/>
                <w:szCs w:val="22"/>
              </w:rPr>
            </w:pPr>
            <w:r w:rsidRPr="00BA79A3">
              <w:rPr>
                <w:rFonts w:asciiTheme="minorHAnsi" w:hAnsiTheme="minorHAnsi" w:cstheme="minorHAnsi"/>
                <w:szCs w:val="22"/>
              </w:rPr>
              <w:t>Kari Stadigh</w:t>
            </w:r>
          </w:p>
        </w:tc>
        <w:tc>
          <w:tcPr>
            <w:tcW w:w="304" w:type="pct"/>
          </w:tcPr>
          <w:p w14:paraId="61A80090" w14:textId="77777777" w:rsidR="00DD0E0A" w:rsidRPr="009143A7" w:rsidRDefault="00DD0E0A" w:rsidP="00A47F48">
            <w:pPr>
              <w:keepNext/>
              <w:rPr>
                <w:rFonts w:asciiTheme="minorHAnsi" w:hAnsiTheme="minorHAnsi" w:cstheme="minorHAnsi"/>
                <w:szCs w:val="22"/>
              </w:rPr>
            </w:pPr>
          </w:p>
        </w:tc>
        <w:tc>
          <w:tcPr>
            <w:tcW w:w="1420" w:type="pct"/>
            <w:tcBorders>
              <w:top w:val="single" w:sz="4" w:space="0" w:color="auto"/>
            </w:tcBorders>
          </w:tcPr>
          <w:p w14:paraId="052A7FB0" w14:textId="77777777" w:rsidR="00DD0E0A" w:rsidRDefault="00DD0E0A" w:rsidP="00A47F48">
            <w:pPr>
              <w:keepNext/>
              <w:rPr>
                <w:rFonts w:asciiTheme="minorHAnsi" w:hAnsiTheme="minorHAnsi" w:cstheme="minorHAnsi"/>
                <w:szCs w:val="22"/>
              </w:rPr>
            </w:pPr>
            <w:r>
              <w:rPr>
                <w:rFonts w:asciiTheme="minorHAnsi" w:hAnsiTheme="minorHAnsi" w:cstheme="minorHAnsi"/>
                <w:szCs w:val="22"/>
              </w:rPr>
              <w:t>Silvija Seres</w:t>
            </w:r>
          </w:p>
        </w:tc>
        <w:tc>
          <w:tcPr>
            <w:tcW w:w="304" w:type="pct"/>
          </w:tcPr>
          <w:p w14:paraId="4A714194" w14:textId="77777777" w:rsidR="00DD0E0A" w:rsidRDefault="00DD0E0A" w:rsidP="00A47F48">
            <w:pPr>
              <w:keepNext/>
            </w:pPr>
          </w:p>
        </w:tc>
        <w:tc>
          <w:tcPr>
            <w:tcW w:w="1419" w:type="pct"/>
            <w:tcBorders>
              <w:top w:val="single" w:sz="4" w:space="0" w:color="auto"/>
            </w:tcBorders>
          </w:tcPr>
          <w:p w14:paraId="75ED9EE8" w14:textId="77777777" w:rsidR="00DD0E0A" w:rsidRDefault="00DD0E0A" w:rsidP="00A47F48">
            <w:pPr>
              <w:keepNext/>
              <w:rPr>
                <w:rFonts w:asciiTheme="minorHAnsi" w:hAnsiTheme="minorHAnsi" w:cstheme="minorHAnsi"/>
                <w:szCs w:val="22"/>
              </w:rPr>
            </w:pPr>
            <w:r>
              <w:t>Maria Varsellona</w:t>
            </w:r>
          </w:p>
        </w:tc>
      </w:tr>
      <w:tr w:rsidR="00DD0E0A" w14:paraId="5EB0D945" w14:textId="77777777" w:rsidTr="00317950">
        <w:tc>
          <w:tcPr>
            <w:tcW w:w="135" w:type="pct"/>
          </w:tcPr>
          <w:p w14:paraId="79AEC9E1" w14:textId="77777777" w:rsidR="00DD0E0A" w:rsidRDefault="00DD0E0A" w:rsidP="00A47F48">
            <w:pPr>
              <w:keepNext/>
            </w:pPr>
          </w:p>
        </w:tc>
        <w:tc>
          <w:tcPr>
            <w:tcW w:w="1418" w:type="pct"/>
          </w:tcPr>
          <w:p w14:paraId="4183BB38" w14:textId="77777777" w:rsidR="00DD0E0A" w:rsidRDefault="00DD0E0A" w:rsidP="00A47F48">
            <w:pPr>
              <w:keepNext/>
              <w:rPr>
                <w:rFonts w:asciiTheme="minorHAnsi" w:hAnsiTheme="minorHAnsi" w:cstheme="minorHAnsi"/>
                <w:szCs w:val="22"/>
              </w:rPr>
            </w:pPr>
          </w:p>
        </w:tc>
        <w:tc>
          <w:tcPr>
            <w:tcW w:w="304" w:type="pct"/>
          </w:tcPr>
          <w:p w14:paraId="75B21E32" w14:textId="77777777" w:rsidR="00DD0E0A" w:rsidRPr="009143A7" w:rsidRDefault="00DD0E0A" w:rsidP="00A47F48">
            <w:pPr>
              <w:keepNext/>
              <w:rPr>
                <w:rFonts w:asciiTheme="minorHAnsi" w:hAnsiTheme="minorHAnsi" w:cstheme="minorHAnsi"/>
                <w:szCs w:val="22"/>
              </w:rPr>
            </w:pPr>
          </w:p>
        </w:tc>
        <w:tc>
          <w:tcPr>
            <w:tcW w:w="1420" w:type="pct"/>
          </w:tcPr>
          <w:p w14:paraId="4D3D4F9C" w14:textId="77777777" w:rsidR="00DD0E0A" w:rsidRPr="00BA79A3" w:rsidRDefault="00DD0E0A" w:rsidP="00A47F48">
            <w:pPr>
              <w:keepNext/>
              <w:rPr>
                <w:rFonts w:asciiTheme="minorHAnsi" w:hAnsiTheme="minorHAnsi" w:cstheme="minorHAnsi"/>
                <w:szCs w:val="22"/>
              </w:rPr>
            </w:pPr>
          </w:p>
        </w:tc>
        <w:tc>
          <w:tcPr>
            <w:tcW w:w="304" w:type="pct"/>
          </w:tcPr>
          <w:p w14:paraId="4423FFA5" w14:textId="77777777" w:rsidR="00DD0E0A" w:rsidRDefault="00DD0E0A" w:rsidP="00A47F48">
            <w:pPr>
              <w:keepNext/>
            </w:pPr>
          </w:p>
        </w:tc>
        <w:tc>
          <w:tcPr>
            <w:tcW w:w="1419" w:type="pct"/>
          </w:tcPr>
          <w:p w14:paraId="34132CF7" w14:textId="77777777" w:rsidR="00DD0E0A" w:rsidRDefault="00DD0E0A" w:rsidP="00A47F48">
            <w:pPr>
              <w:keepNext/>
              <w:rPr>
                <w:rFonts w:asciiTheme="minorHAnsi" w:hAnsiTheme="minorHAnsi" w:cstheme="minorHAnsi"/>
                <w:szCs w:val="22"/>
              </w:rPr>
            </w:pPr>
          </w:p>
        </w:tc>
      </w:tr>
      <w:tr w:rsidR="00DD0E0A" w14:paraId="1E9DCA95" w14:textId="77777777" w:rsidTr="00317950">
        <w:tc>
          <w:tcPr>
            <w:tcW w:w="135" w:type="pct"/>
          </w:tcPr>
          <w:p w14:paraId="418C083A" w14:textId="77777777" w:rsidR="00DD0E0A" w:rsidRDefault="00DD0E0A" w:rsidP="00A47F48">
            <w:pPr>
              <w:keepNext/>
            </w:pPr>
          </w:p>
        </w:tc>
        <w:tc>
          <w:tcPr>
            <w:tcW w:w="1418" w:type="pct"/>
            <w:tcBorders>
              <w:bottom w:val="single" w:sz="4" w:space="0" w:color="auto"/>
            </w:tcBorders>
          </w:tcPr>
          <w:p w14:paraId="342482F2" w14:textId="77777777" w:rsidR="00DD0E0A" w:rsidRDefault="00DD0E0A" w:rsidP="00A47F48">
            <w:pPr>
              <w:keepNext/>
              <w:rPr>
                <w:rFonts w:asciiTheme="minorHAnsi" w:hAnsiTheme="minorHAnsi" w:cstheme="minorHAnsi"/>
                <w:szCs w:val="22"/>
              </w:rPr>
            </w:pPr>
          </w:p>
        </w:tc>
        <w:tc>
          <w:tcPr>
            <w:tcW w:w="304" w:type="pct"/>
          </w:tcPr>
          <w:p w14:paraId="77C04AA3" w14:textId="77777777" w:rsidR="00DD0E0A" w:rsidRPr="009143A7" w:rsidRDefault="00DD0E0A" w:rsidP="00A47F48">
            <w:pPr>
              <w:keepNext/>
              <w:rPr>
                <w:rFonts w:asciiTheme="minorHAnsi" w:hAnsiTheme="minorHAnsi" w:cstheme="minorHAnsi"/>
                <w:szCs w:val="22"/>
              </w:rPr>
            </w:pPr>
          </w:p>
        </w:tc>
        <w:tc>
          <w:tcPr>
            <w:tcW w:w="1420" w:type="pct"/>
            <w:tcBorders>
              <w:bottom w:val="single" w:sz="4" w:space="0" w:color="auto"/>
            </w:tcBorders>
          </w:tcPr>
          <w:p w14:paraId="26FC4F6B" w14:textId="77777777" w:rsidR="00DD0E0A" w:rsidRPr="00BA79A3" w:rsidRDefault="00DD0E0A" w:rsidP="00A47F48">
            <w:pPr>
              <w:keepNext/>
              <w:rPr>
                <w:rFonts w:asciiTheme="minorHAnsi" w:hAnsiTheme="minorHAnsi" w:cstheme="minorHAnsi"/>
                <w:szCs w:val="22"/>
              </w:rPr>
            </w:pPr>
          </w:p>
        </w:tc>
        <w:tc>
          <w:tcPr>
            <w:tcW w:w="304" w:type="pct"/>
          </w:tcPr>
          <w:p w14:paraId="387F8D9E" w14:textId="77777777" w:rsidR="00DD0E0A" w:rsidRDefault="00DD0E0A" w:rsidP="00A47F48">
            <w:pPr>
              <w:keepNext/>
            </w:pPr>
          </w:p>
        </w:tc>
        <w:tc>
          <w:tcPr>
            <w:tcW w:w="1419" w:type="pct"/>
            <w:tcBorders>
              <w:bottom w:val="single" w:sz="4" w:space="0" w:color="auto"/>
            </w:tcBorders>
          </w:tcPr>
          <w:p w14:paraId="1068C6C2" w14:textId="77777777" w:rsidR="00DD0E0A" w:rsidRDefault="00DD0E0A" w:rsidP="00A47F48">
            <w:pPr>
              <w:keepNext/>
              <w:rPr>
                <w:rFonts w:asciiTheme="minorHAnsi" w:hAnsiTheme="minorHAnsi" w:cstheme="minorHAnsi"/>
                <w:szCs w:val="22"/>
              </w:rPr>
            </w:pPr>
          </w:p>
        </w:tc>
      </w:tr>
      <w:tr w:rsidR="00DD0E0A" w14:paraId="21E63B33" w14:textId="77777777" w:rsidTr="00317950">
        <w:tc>
          <w:tcPr>
            <w:tcW w:w="135" w:type="pct"/>
          </w:tcPr>
          <w:p w14:paraId="26718242" w14:textId="77777777" w:rsidR="00DD0E0A" w:rsidRDefault="00DD0E0A" w:rsidP="00A47F48">
            <w:pPr>
              <w:keepNext/>
            </w:pPr>
          </w:p>
        </w:tc>
        <w:tc>
          <w:tcPr>
            <w:tcW w:w="1418" w:type="pct"/>
            <w:tcBorders>
              <w:top w:val="single" w:sz="4" w:space="0" w:color="auto"/>
            </w:tcBorders>
          </w:tcPr>
          <w:p w14:paraId="6B9EE66E" w14:textId="77777777" w:rsidR="00DD0E0A" w:rsidRDefault="00DD0E0A" w:rsidP="00A47F48">
            <w:pPr>
              <w:keepNext/>
              <w:rPr>
                <w:rFonts w:asciiTheme="minorHAnsi" w:hAnsiTheme="minorHAnsi" w:cstheme="minorHAnsi"/>
                <w:szCs w:val="22"/>
              </w:rPr>
            </w:pPr>
            <w:r>
              <w:rPr>
                <w:rFonts w:asciiTheme="minorHAnsi" w:hAnsiTheme="minorHAnsi" w:cstheme="minorHAnsi"/>
                <w:szCs w:val="22"/>
              </w:rPr>
              <w:t>Lars Wollung</w:t>
            </w:r>
          </w:p>
        </w:tc>
        <w:tc>
          <w:tcPr>
            <w:tcW w:w="304" w:type="pct"/>
          </w:tcPr>
          <w:p w14:paraId="49FAFC9A" w14:textId="77777777" w:rsidR="00DD0E0A" w:rsidRPr="009143A7" w:rsidRDefault="00DD0E0A" w:rsidP="00A47F48">
            <w:pPr>
              <w:keepNext/>
              <w:rPr>
                <w:rFonts w:asciiTheme="minorHAnsi" w:hAnsiTheme="minorHAnsi" w:cstheme="minorHAnsi"/>
                <w:szCs w:val="22"/>
              </w:rPr>
            </w:pPr>
          </w:p>
        </w:tc>
        <w:tc>
          <w:tcPr>
            <w:tcW w:w="1420" w:type="pct"/>
            <w:tcBorders>
              <w:top w:val="single" w:sz="4" w:space="0" w:color="auto"/>
            </w:tcBorders>
          </w:tcPr>
          <w:p w14:paraId="3CB97657" w14:textId="77777777" w:rsidR="00DD0E0A" w:rsidRPr="00BA79A3" w:rsidRDefault="00DD0E0A" w:rsidP="00A47F48">
            <w:pPr>
              <w:keepNext/>
              <w:rPr>
                <w:rFonts w:asciiTheme="minorHAnsi" w:hAnsiTheme="minorHAnsi" w:cstheme="minorHAnsi"/>
                <w:szCs w:val="22"/>
              </w:rPr>
            </w:pPr>
            <w:r>
              <w:rPr>
                <w:rFonts w:asciiTheme="minorHAnsi" w:hAnsiTheme="minorHAnsi" w:cstheme="minorHAnsi"/>
                <w:szCs w:val="22"/>
              </w:rPr>
              <w:t>Birger Steen</w:t>
            </w:r>
          </w:p>
        </w:tc>
        <w:tc>
          <w:tcPr>
            <w:tcW w:w="304" w:type="pct"/>
          </w:tcPr>
          <w:p w14:paraId="31FDABA4" w14:textId="77777777" w:rsidR="00DD0E0A" w:rsidRDefault="00DD0E0A" w:rsidP="00A47F48">
            <w:pPr>
              <w:keepNext/>
            </w:pPr>
          </w:p>
        </w:tc>
        <w:tc>
          <w:tcPr>
            <w:tcW w:w="1419" w:type="pct"/>
            <w:tcBorders>
              <w:top w:val="single" w:sz="4" w:space="0" w:color="auto"/>
            </w:tcBorders>
          </w:tcPr>
          <w:p w14:paraId="6BAE89B8" w14:textId="77777777" w:rsidR="00DD0E0A" w:rsidRDefault="00DD0E0A" w:rsidP="00A47F48">
            <w:pPr>
              <w:keepNext/>
              <w:rPr>
                <w:rFonts w:asciiTheme="minorHAnsi" w:hAnsiTheme="minorHAnsi" w:cstheme="minorHAnsi"/>
                <w:szCs w:val="22"/>
              </w:rPr>
            </w:pPr>
            <w:r>
              <w:rPr>
                <w:rFonts w:asciiTheme="minorHAnsi" w:hAnsiTheme="minorHAnsi" w:cstheme="minorHAnsi"/>
                <w:szCs w:val="22"/>
              </w:rPr>
              <w:t>Pernille Erenbjerg</w:t>
            </w:r>
          </w:p>
        </w:tc>
      </w:tr>
      <w:tr w:rsidR="00DD0E0A" w14:paraId="466E0AFF" w14:textId="77777777" w:rsidTr="00317950">
        <w:tc>
          <w:tcPr>
            <w:tcW w:w="135" w:type="pct"/>
          </w:tcPr>
          <w:p w14:paraId="1879E7D3" w14:textId="77777777" w:rsidR="00DD0E0A" w:rsidRDefault="00DD0E0A" w:rsidP="00A47F48">
            <w:pPr>
              <w:keepNext/>
            </w:pPr>
          </w:p>
        </w:tc>
        <w:tc>
          <w:tcPr>
            <w:tcW w:w="1418" w:type="pct"/>
          </w:tcPr>
          <w:p w14:paraId="17BF4A65" w14:textId="77777777" w:rsidR="00DD0E0A" w:rsidRDefault="00DD0E0A" w:rsidP="00A47F48">
            <w:pPr>
              <w:keepNext/>
              <w:rPr>
                <w:rFonts w:asciiTheme="minorHAnsi" w:hAnsiTheme="minorHAnsi" w:cstheme="minorHAnsi"/>
                <w:szCs w:val="22"/>
              </w:rPr>
            </w:pPr>
          </w:p>
        </w:tc>
        <w:tc>
          <w:tcPr>
            <w:tcW w:w="304" w:type="pct"/>
          </w:tcPr>
          <w:p w14:paraId="2095B5C6" w14:textId="77777777" w:rsidR="00DD0E0A" w:rsidRPr="009143A7" w:rsidRDefault="00DD0E0A" w:rsidP="00A47F48">
            <w:pPr>
              <w:keepNext/>
              <w:rPr>
                <w:rFonts w:asciiTheme="minorHAnsi" w:hAnsiTheme="minorHAnsi" w:cstheme="minorHAnsi"/>
                <w:szCs w:val="22"/>
              </w:rPr>
            </w:pPr>
          </w:p>
        </w:tc>
        <w:tc>
          <w:tcPr>
            <w:tcW w:w="1420" w:type="pct"/>
          </w:tcPr>
          <w:p w14:paraId="2A6B1F6F" w14:textId="77777777" w:rsidR="00DD0E0A" w:rsidRDefault="00DD0E0A" w:rsidP="00A47F48">
            <w:pPr>
              <w:keepNext/>
            </w:pPr>
          </w:p>
        </w:tc>
        <w:tc>
          <w:tcPr>
            <w:tcW w:w="304" w:type="pct"/>
          </w:tcPr>
          <w:p w14:paraId="6AA1A922" w14:textId="77777777" w:rsidR="00DD0E0A" w:rsidRDefault="00DD0E0A" w:rsidP="00A47F48">
            <w:pPr>
              <w:keepNext/>
            </w:pPr>
          </w:p>
        </w:tc>
        <w:tc>
          <w:tcPr>
            <w:tcW w:w="1419" w:type="pct"/>
          </w:tcPr>
          <w:p w14:paraId="56E265F3" w14:textId="77777777" w:rsidR="00DD0E0A" w:rsidRDefault="00DD0E0A" w:rsidP="00A47F48">
            <w:pPr>
              <w:keepNext/>
              <w:rPr>
                <w:rFonts w:asciiTheme="minorHAnsi" w:hAnsiTheme="minorHAnsi" w:cstheme="minorHAnsi"/>
                <w:szCs w:val="22"/>
              </w:rPr>
            </w:pPr>
          </w:p>
        </w:tc>
      </w:tr>
      <w:tr w:rsidR="00DD0E0A" w14:paraId="0A7AC86B" w14:textId="77777777" w:rsidTr="00317950">
        <w:tc>
          <w:tcPr>
            <w:tcW w:w="135" w:type="pct"/>
          </w:tcPr>
          <w:p w14:paraId="06A8ABD0" w14:textId="77777777" w:rsidR="00DD0E0A" w:rsidRDefault="00DD0E0A" w:rsidP="00A47F48">
            <w:pPr>
              <w:keepNext/>
            </w:pPr>
          </w:p>
        </w:tc>
        <w:tc>
          <w:tcPr>
            <w:tcW w:w="1418" w:type="pct"/>
            <w:tcBorders>
              <w:bottom w:val="single" w:sz="4" w:space="0" w:color="auto"/>
            </w:tcBorders>
          </w:tcPr>
          <w:p w14:paraId="0FD3EF81" w14:textId="77777777" w:rsidR="00DD0E0A" w:rsidRDefault="00DD0E0A" w:rsidP="00A47F48">
            <w:pPr>
              <w:keepNext/>
              <w:rPr>
                <w:rFonts w:asciiTheme="minorHAnsi" w:hAnsiTheme="minorHAnsi" w:cstheme="minorHAnsi"/>
                <w:szCs w:val="22"/>
              </w:rPr>
            </w:pPr>
          </w:p>
        </w:tc>
        <w:tc>
          <w:tcPr>
            <w:tcW w:w="304" w:type="pct"/>
          </w:tcPr>
          <w:p w14:paraId="5097F065" w14:textId="77777777" w:rsidR="00DD0E0A" w:rsidRPr="009143A7" w:rsidRDefault="00DD0E0A" w:rsidP="00A47F48">
            <w:pPr>
              <w:keepNext/>
              <w:rPr>
                <w:rFonts w:asciiTheme="minorHAnsi" w:hAnsiTheme="minorHAnsi" w:cstheme="minorHAnsi"/>
                <w:szCs w:val="22"/>
              </w:rPr>
            </w:pPr>
          </w:p>
        </w:tc>
        <w:tc>
          <w:tcPr>
            <w:tcW w:w="1420" w:type="pct"/>
          </w:tcPr>
          <w:p w14:paraId="6FEE25EF" w14:textId="77777777" w:rsidR="00DD0E0A" w:rsidRDefault="00DD0E0A" w:rsidP="00A47F48">
            <w:pPr>
              <w:keepNext/>
            </w:pPr>
          </w:p>
        </w:tc>
        <w:tc>
          <w:tcPr>
            <w:tcW w:w="304" w:type="pct"/>
          </w:tcPr>
          <w:p w14:paraId="1E323A76" w14:textId="77777777" w:rsidR="00DD0E0A" w:rsidRDefault="00DD0E0A" w:rsidP="00A47F48">
            <w:pPr>
              <w:keepNext/>
            </w:pPr>
          </w:p>
        </w:tc>
        <w:tc>
          <w:tcPr>
            <w:tcW w:w="1419" w:type="pct"/>
          </w:tcPr>
          <w:p w14:paraId="07F98548" w14:textId="77777777" w:rsidR="00DD0E0A" w:rsidRDefault="00DD0E0A" w:rsidP="00A47F48">
            <w:pPr>
              <w:keepNext/>
              <w:rPr>
                <w:rFonts w:asciiTheme="minorHAnsi" w:hAnsiTheme="minorHAnsi" w:cstheme="minorHAnsi"/>
                <w:szCs w:val="22"/>
              </w:rPr>
            </w:pPr>
          </w:p>
        </w:tc>
      </w:tr>
      <w:tr w:rsidR="00DD0E0A" w14:paraId="08B20E15" w14:textId="77777777" w:rsidTr="00317950">
        <w:tc>
          <w:tcPr>
            <w:tcW w:w="135" w:type="pct"/>
          </w:tcPr>
          <w:p w14:paraId="23675942" w14:textId="77777777" w:rsidR="00DD0E0A" w:rsidRDefault="00DD0E0A" w:rsidP="00A47F48">
            <w:pPr>
              <w:keepNext/>
            </w:pPr>
          </w:p>
        </w:tc>
        <w:tc>
          <w:tcPr>
            <w:tcW w:w="1418" w:type="pct"/>
            <w:tcBorders>
              <w:top w:val="single" w:sz="4" w:space="0" w:color="auto"/>
            </w:tcBorders>
          </w:tcPr>
          <w:p w14:paraId="4ED80F25" w14:textId="77777777" w:rsidR="00DD0E0A" w:rsidRDefault="00DD0E0A" w:rsidP="00A47F48">
            <w:pPr>
              <w:keepNext/>
              <w:rPr>
                <w:rFonts w:asciiTheme="minorHAnsi" w:hAnsiTheme="minorHAnsi" w:cstheme="minorHAnsi"/>
                <w:szCs w:val="22"/>
              </w:rPr>
            </w:pPr>
            <w:r>
              <w:rPr>
                <w:rFonts w:asciiTheme="minorHAnsi" w:hAnsiTheme="minorHAnsi" w:cstheme="minorHAnsi"/>
                <w:szCs w:val="22"/>
              </w:rPr>
              <w:t>Sarah Russell</w:t>
            </w:r>
          </w:p>
        </w:tc>
        <w:tc>
          <w:tcPr>
            <w:tcW w:w="304" w:type="pct"/>
          </w:tcPr>
          <w:p w14:paraId="51C9D3EF" w14:textId="77777777" w:rsidR="00DD0E0A" w:rsidRPr="009143A7" w:rsidRDefault="00DD0E0A" w:rsidP="00A47F48">
            <w:pPr>
              <w:keepNext/>
              <w:rPr>
                <w:rFonts w:asciiTheme="minorHAnsi" w:hAnsiTheme="minorHAnsi" w:cstheme="minorHAnsi"/>
                <w:szCs w:val="22"/>
              </w:rPr>
            </w:pPr>
          </w:p>
        </w:tc>
        <w:tc>
          <w:tcPr>
            <w:tcW w:w="1420" w:type="pct"/>
          </w:tcPr>
          <w:p w14:paraId="46D45B54" w14:textId="77777777" w:rsidR="00DD0E0A" w:rsidRDefault="00DD0E0A" w:rsidP="00A47F48">
            <w:pPr>
              <w:keepNext/>
            </w:pPr>
          </w:p>
        </w:tc>
        <w:tc>
          <w:tcPr>
            <w:tcW w:w="304" w:type="pct"/>
          </w:tcPr>
          <w:p w14:paraId="5BC087BF" w14:textId="77777777" w:rsidR="00DD0E0A" w:rsidRDefault="00DD0E0A" w:rsidP="00A47F48">
            <w:pPr>
              <w:keepNext/>
            </w:pPr>
          </w:p>
        </w:tc>
        <w:tc>
          <w:tcPr>
            <w:tcW w:w="1419" w:type="pct"/>
          </w:tcPr>
          <w:p w14:paraId="04248940" w14:textId="77777777" w:rsidR="00DD0E0A" w:rsidRDefault="00DD0E0A" w:rsidP="00A47F48">
            <w:pPr>
              <w:keepNext/>
              <w:rPr>
                <w:rFonts w:asciiTheme="minorHAnsi" w:hAnsiTheme="minorHAnsi" w:cstheme="minorHAnsi"/>
                <w:szCs w:val="22"/>
              </w:rPr>
            </w:pPr>
          </w:p>
        </w:tc>
      </w:tr>
      <w:tr w:rsidR="00DD0E0A" w14:paraId="6E99C524" w14:textId="77777777" w:rsidTr="00317950">
        <w:tc>
          <w:tcPr>
            <w:tcW w:w="135" w:type="pct"/>
          </w:tcPr>
          <w:p w14:paraId="31D2E717" w14:textId="77777777" w:rsidR="00DD0E0A" w:rsidRDefault="00DD0E0A" w:rsidP="00A47F48">
            <w:pPr>
              <w:keepNext/>
            </w:pPr>
          </w:p>
        </w:tc>
        <w:tc>
          <w:tcPr>
            <w:tcW w:w="1418" w:type="pct"/>
          </w:tcPr>
          <w:p w14:paraId="02F81E53" w14:textId="77777777" w:rsidR="00DD0E0A" w:rsidRDefault="00DD0E0A" w:rsidP="00A47F48">
            <w:pPr>
              <w:keepNext/>
              <w:rPr>
                <w:rFonts w:asciiTheme="minorHAnsi" w:hAnsiTheme="minorHAnsi" w:cstheme="minorHAnsi"/>
                <w:szCs w:val="22"/>
              </w:rPr>
            </w:pPr>
          </w:p>
        </w:tc>
        <w:tc>
          <w:tcPr>
            <w:tcW w:w="304" w:type="pct"/>
          </w:tcPr>
          <w:p w14:paraId="03AFF5C7" w14:textId="77777777" w:rsidR="00DD0E0A" w:rsidRPr="009143A7" w:rsidRDefault="00DD0E0A" w:rsidP="00A47F48">
            <w:pPr>
              <w:keepNext/>
              <w:rPr>
                <w:rFonts w:asciiTheme="minorHAnsi" w:hAnsiTheme="minorHAnsi" w:cstheme="minorHAnsi"/>
                <w:szCs w:val="22"/>
              </w:rPr>
            </w:pPr>
          </w:p>
        </w:tc>
        <w:tc>
          <w:tcPr>
            <w:tcW w:w="1420" w:type="pct"/>
          </w:tcPr>
          <w:p w14:paraId="10747970" w14:textId="77777777" w:rsidR="00DD0E0A" w:rsidRDefault="00DD0E0A" w:rsidP="00A47F48">
            <w:pPr>
              <w:keepNext/>
              <w:rPr>
                <w:rFonts w:asciiTheme="minorHAnsi" w:hAnsiTheme="minorHAnsi" w:cstheme="minorHAnsi"/>
                <w:szCs w:val="22"/>
              </w:rPr>
            </w:pPr>
          </w:p>
        </w:tc>
        <w:tc>
          <w:tcPr>
            <w:tcW w:w="304" w:type="pct"/>
          </w:tcPr>
          <w:p w14:paraId="5F637341" w14:textId="77777777" w:rsidR="00DD0E0A" w:rsidRDefault="00DD0E0A" w:rsidP="00A47F48">
            <w:pPr>
              <w:keepNext/>
            </w:pPr>
          </w:p>
        </w:tc>
        <w:tc>
          <w:tcPr>
            <w:tcW w:w="1419" w:type="pct"/>
          </w:tcPr>
          <w:p w14:paraId="05497853" w14:textId="77777777" w:rsidR="00DD0E0A" w:rsidRDefault="00DD0E0A" w:rsidP="00A47F48">
            <w:pPr>
              <w:keepNext/>
              <w:rPr>
                <w:rFonts w:asciiTheme="minorHAnsi" w:hAnsiTheme="minorHAnsi" w:cstheme="minorHAnsi"/>
                <w:szCs w:val="22"/>
              </w:rPr>
            </w:pPr>
          </w:p>
        </w:tc>
      </w:tr>
    </w:tbl>
    <w:p w14:paraId="6335D64E" w14:textId="2FA9E43B" w:rsidR="00B65B9C" w:rsidRDefault="00B65B9C" w:rsidP="00C465F6"/>
    <w:sectPr w:rsidR="00B65B9C" w:rsidSect="00D56D80">
      <w:headerReference w:type="first" r:id="rId11"/>
      <w:pgSz w:w="16838" w:h="11906" w:orient="landscape" w:code="9"/>
      <w:pgMar w:top="1701" w:right="2381" w:bottom="1701" w:left="1418" w:header="136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8F3FB" w14:textId="77777777" w:rsidR="00D8737F" w:rsidRDefault="00D8737F">
      <w:r>
        <w:separator/>
      </w:r>
    </w:p>
  </w:endnote>
  <w:endnote w:type="continuationSeparator" w:id="0">
    <w:p w14:paraId="05609EB4" w14:textId="77777777" w:rsidR="00D8737F" w:rsidRDefault="00D8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C1581" w14:textId="77777777" w:rsidR="00D8737F" w:rsidRDefault="00D8737F">
      <w:pPr>
        <w:spacing w:before="120" w:after="0" w:line="240" w:lineRule="auto"/>
      </w:pPr>
      <w:r>
        <w:separator/>
      </w:r>
    </w:p>
  </w:footnote>
  <w:footnote w:type="continuationSeparator" w:id="0">
    <w:p w14:paraId="5A3AF292" w14:textId="77777777" w:rsidR="00D8737F" w:rsidRDefault="00D8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7C240" w14:textId="3F6C9C6D" w:rsidR="00D8737F" w:rsidRDefault="00D8737F">
    <w:pPr>
      <w:pStyle w:val="Sidhuvud"/>
      <w:ind w:right="-709"/>
      <w:jc w:val="right"/>
      <w:rPr>
        <w:rStyle w:val="Sidnummer"/>
      </w:rPr>
    </w:pPr>
    <w:r>
      <w:rPr>
        <w:rStyle w:val="Sidnummer"/>
      </w:rPr>
      <w:fldChar w:fldCharType="begin"/>
    </w:r>
    <w:r>
      <w:rPr>
        <w:rStyle w:val="Sidnummer"/>
      </w:rPr>
      <w:instrText xml:space="preserve"> PAGE </w:instrText>
    </w:r>
    <w:r>
      <w:rPr>
        <w:rStyle w:val="Sidnummer"/>
      </w:rPr>
      <w:fldChar w:fldCharType="separate"/>
    </w:r>
    <w:r w:rsidR="00890B1B">
      <w:rPr>
        <w:rStyle w:val="Sidnummer"/>
        <w:noProof/>
      </w:rPr>
      <w:t>18</w:t>
    </w:r>
    <w:r>
      <w:rPr>
        <w:rStyle w:val="Sidnummer"/>
      </w:rPr>
      <w:fldChar w:fldCharType="end"/>
    </w:r>
  </w:p>
  <w:p w14:paraId="46A3C879" w14:textId="77777777" w:rsidR="00D8737F" w:rsidRDefault="00D8737F">
    <w:pPr>
      <w:pStyle w:val="Sidhuvud"/>
      <w:ind w:right="-70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0556" w14:textId="77777777" w:rsidR="00D8737F" w:rsidRPr="001D2223" w:rsidRDefault="00D8737F" w:rsidP="006E6148">
    <w:pPr>
      <w:pStyle w:val="Sidhuvud"/>
      <w:ind w:firstLine="9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65561" w14:textId="77777777" w:rsidR="00D56D80" w:rsidRPr="00D56D80" w:rsidRDefault="00D56D80" w:rsidP="00D56D8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107D2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7D92F018"/>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E528AAD2"/>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EAF095AE"/>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42481BF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37457D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D722E1A0"/>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99A1732"/>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9"/>
    <w:multiLevelType w:val="singleLevel"/>
    <w:tmpl w:val="575E060E"/>
    <w:lvl w:ilvl="0">
      <w:start w:val="1"/>
      <w:numFmt w:val="bullet"/>
      <w:pStyle w:val="Punktlista"/>
      <w:lvlText w:val=""/>
      <w:lvlJc w:val="left"/>
      <w:pPr>
        <w:tabs>
          <w:tab w:val="num" w:pos="1304"/>
        </w:tabs>
        <w:ind w:left="1304" w:hanging="295"/>
      </w:pPr>
      <w:rPr>
        <w:rFonts w:ascii="Symbol" w:hAnsi="Symbol" w:hint="default"/>
      </w:rPr>
    </w:lvl>
  </w:abstractNum>
  <w:abstractNum w:abstractNumId="9">
    <w:nsid w:val="07B26EDA"/>
    <w:multiLevelType w:val="hybridMultilevel"/>
    <w:tmpl w:val="DE8C5C82"/>
    <w:lvl w:ilvl="0" w:tplc="3CC82E5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2">
    <w:nsid w:val="0F183B5F"/>
    <w:multiLevelType w:val="multilevel"/>
    <w:tmpl w:val="123E386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3">
    <w:nsid w:val="1677762B"/>
    <w:multiLevelType w:val="multilevel"/>
    <w:tmpl w:val="CE58A19A"/>
    <w:styleLink w:val="GDAPunktlistor"/>
    <w:lvl w:ilvl="0">
      <w:start w:val="1"/>
      <w:numFmt w:val="lowerLetter"/>
      <w:pStyle w:val="Listaa1"/>
      <w:lvlText w:val="(%1)"/>
      <w:lvlJc w:val="left"/>
      <w:pPr>
        <w:tabs>
          <w:tab w:val="num" w:pos="851"/>
        </w:tabs>
        <w:ind w:left="1531"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5">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7">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D3408C2"/>
    <w:multiLevelType w:val="multilevel"/>
    <w:tmpl w:val="CE58A19A"/>
    <w:numStyleLink w:val="GDAPunktlistor"/>
  </w:abstractNum>
  <w:abstractNum w:abstractNumId="19">
    <w:nsid w:val="5F0170B1"/>
    <w:multiLevelType w:val="hybridMultilevel"/>
    <w:tmpl w:val="9B76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0B3CA2"/>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70F81FCC"/>
    <w:multiLevelType w:val="multilevel"/>
    <w:tmpl w:val="94DE7BAC"/>
    <w:lvl w:ilvl="0">
      <w:start w:val="1"/>
      <w:numFmt w:val="decimal"/>
      <w:pStyle w:val="Rubrik1"/>
      <w:lvlText w:val="%1"/>
      <w:lvlJc w:val="left"/>
      <w:pPr>
        <w:tabs>
          <w:tab w:val="num" w:pos="851"/>
        </w:tabs>
        <w:ind w:left="851" w:hanging="851"/>
      </w:pPr>
      <w:rPr>
        <w:rFonts w:asciiTheme="minorHAnsi" w:hAnsiTheme="minorHAnsi" w:cstheme="minorHAnsi" w:hint="default"/>
        <w:b w:val="0"/>
      </w:rPr>
    </w:lvl>
    <w:lvl w:ilvl="1">
      <w:start w:val="1"/>
      <w:numFmt w:val="decimal"/>
      <w:pStyle w:val="Rubrik2"/>
      <w:lvlText w:val="%1.%2"/>
      <w:lvlJc w:val="left"/>
      <w:pPr>
        <w:tabs>
          <w:tab w:val="num" w:pos="851"/>
        </w:tabs>
        <w:ind w:left="851" w:hanging="851"/>
      </w:pPr>
      <w:rPr>
        <w:rFonts w:asciiTheme="minorHAnsi" w:hAnsiTheme="minorHAnsi" w:cstheme="minorHAnsi" w:hint="default"/>
        <w:b w:val="0"/>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851"/>
        </w:tabs>
        <w:ind w:left="851" w:hanging="851"/>
      </w:pPr>
      <w:rPr>
        <w:rFonts w:hint="default"/>
      </w:rPr>
    </w:lvl>
    <w:lvl w:ilvl="5">
      <w:start w:val="1"/>
      <w:numFmt w:val="decimal"/>
      <w:pStyle w:val="Rubrik6"/>
      <w:lvlText w:val="%1.%2.%3.%4.%5.%6"/>
      <w:lvlJc w:val="left"/>
      <w:pPr>
        <w:tabs>
          <w:tab w:val="num" w:pos="851"/>
        </w:tabs>
        <w:ind w:left="851" w:hanging="851"/>
      </w:pPr>
      <w:rPr>
        <w:rFonts w:hint="default"/>
      </w:rPr>
    </w:lvl>
    <w:lvl w:ilvl="6">
      <w:start w:val="1"/>
      <w:numFmt w:val="decimal"/>
      <w:pStyle w:val="Rubrik7"/>
      <w:lvlText w:val="%1.%2.%3.%4.%5.%6.%7"/>
      <w:lvlJc w:val="left"/>
      <w:pPr>
        <w:tabs>
          <w:tab w:val="num" w:pos="851"/>
        </w:tabs>
        <w:ind w:left="851" w:hanging="851"/>
      </w:pPr>
      <w:rPr>
        <w:rFonts w:hint="default"/>
      </w:rPr>
    </w:lvl>
    <w:lvl w:ilvl="7">
      <w:start w:val="1"/>
      <w:numFmt w:val="decimal"/>
      <w:pStyle w:val="Rubrik8"/>
      <w:lvlText w:val="%1.%2.%3.%4.%5.%6.%7.%8"/>
      <w:lvlJc w:val="left"/>
      <w:pPr>
        <w:tabs>
          <w:tab w:val="num" w:pos="851"/>
        </w:tabs>
        <w:ind w:left="851" w:hanging="851"/>
      </w:pPr>
      <w:rPr>
        <w:rFonts w:hint="default"/>
      </w:rPr>
    </w:lvl>
    <w:lvl w:ilvl="8">
      <w:start w:val="1"/>
      <w:numFmt w:val="decimal"/>
      <w:pStyle w:val="Rubrik9"/>
      <w:lvlText w:val="%1.%2.%3.%4.%5.%6.%7.%8.%9"/>
      <w:lvlJc w:val="left"/>
      <w:pPr>
        <w:tabs>
          <w:tab w:val="num" w:pos="851"/>
        </w:tabs>
        <w:ind w:left="851" w:hanging="851"/>
      </w:pPr>
      <w:rPr>
        <w:rFonts w:hint="default"/>
      </w:rPr>
    </w:lvl>
  </w:abstractNum>
  <w:num w:numId="1">
    <w:abstractNumId w:val="16"/>
  </w:num>
  <w:num w:numId="2">
    <w:abstractNumId w:val="17"/>
  </w:num>
  <w:num w:numId="3">
    <w:abstractNumId w:val="20"/>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8"/>
  </w:num>
  <w:num w:numId="13">
    <w:abstractNumId w:val="21"/>
  </w:num>
  <w:num w:numId="14">
    <w:abstractNumId w:val="13"/>
  </w:num>
  <w:num w:numId="15">
    <w:abstractNumId w:val="12"/>
  </w:num>
  <w:num w:numId="16">
    <w:abstractNumId w:val="10"/>
  </w:num>
  <w:num w:numId="17">
    <w:abstractNumId w:val="11"/>
  </w:num>
  <w:num w:numId="18">
    <w:abstractNumId w:val="18"/>
  </w:num>
  <w:num w:numId="19">
    <w:abstractNumId w:val="14"/>
  </w:num>
  <w:num w:numId="20">
    <w:abstractNumId w:val="14"/>
  </w:num>
  <w:num w:numId="21">
    <w:abstractNumId w:val="14"/>
  </w:num>
  <w:num w:numId="22">
    <w:abstractNumId w:val="14"/>
  </w:num>
  <w:num w:numId="23">
    <w:abstractNumId w:val="21"/>
  </w:num>
  <w:num w:numId="24">
    <w:abstractNumId w:val="9"/>
  </w:num>
  <w:num w:numId="25">
    <w:abstractNumId w:val="19"/>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i-FI"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LockTheme/>
  <w:styleLockQFSet/>
  <w:defaultTabStop w:val="1531"/>
  <w:hyphenationZone w:val="425"/>
  <w:drawingGridHorizontalSpacing w:val="110"/>
  <w:displayHorizontalDrawingGridEvery w:val="2"/>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DOCID" w:val="D-2736579-v25"/>
  </w:docVars>
  <w:rsids>
    <w:rsidRoot w:val="007F340D"/>
    <w:rsid w:val="00002932"/>
    <w:rsid w:val="0000371C"/>
    <w:rsid w:val="00010C7E"/>
    <w:rsid w:val="00012306"/>
    <w:rsid w:val="000132A2"/>
    <w:rsid w:val="00013E52"/>
    <w:rsid w:val="0002066F"/>
    <w:rsid w:val="00020C71"/>
    <w:rsid w:val="00023ADD"/>
    <w:rsid w:val="00033FB2"/>
    <w:rsid w:val="00035702"/>
    <w:rsid w:val="000429F8"/>
    <w:rsid w:val="0004342C"/>
    <w:rsid w:val="0004349A"/>
    <w:rsid w:val="000442E7"/>
    <w:rsid w:val="0004511F"/>
    <w:rsid w:val="000538EB"/>
    <w:rsid w:val="00055E49"/>
    <w:rsid w:val="00057018"/>
    <w:rsid w:val="0006518F"/>
    <w:rsid w:val="0006540E"/>
    <w:rsid w:val="000733C9"/>
    <w:rsid w:val="00074676"/>
    <w:rsid w:val="00075981"/>
    <w:rsid w:val="00080725"/>
    <w:rsid w:val="00084D1E"/>
    <w:rsid w:val="0009138E"/>
    <w:rsid w:val="00095F95"/>
    <w:rsid w:val="000A023B"/>
    <w:rsid w:val="000A078B"/>
    <w:rsid w:val="000A1310"/>
    <w:rsid w:val="000A1360"/>
    <w:rsid w:val="000B3F81"/>
    <w:rsid w:val="000B5CE5"/>
    <w:rsid w:val="000B6280"/>
    <w:rsid w:val="000B6E3C"/>
    <w:rsid w:val="000B6F0F"/>
    <w:rsid w:val="000B7F07"/>
    <w:rsid w:val="000C040E"/>
    <w:rsid w:val="000C11CC"/>
    <w:rsid w:val="000C37DD"/>
    <w:rsid w:val="000C467E"/>
    <w:rsid w:val="000C5A9A"/>
    <w:rsid w:val="000C6F59"/>
    <w:rsid w:val="000C6FD1"/>
    <w:rsid w:val="000D170F"/>
    <w:rsid w:val="000D22AD"/>
    <w:rsid w:val="000D2BFF"/>
    <w:rsid w:val="000D4B16"/>
    <w:rsid w:val="000D4CE9"/>
    <w:rsid w:val="000D5096"/>
    <w:rsid w:val="000D58A3"/>
    <w:rsid w:val="000D5AE4"/>
    <w:rsid w:val="000D7EE1"/>
    <w:rsid w:val="000E09F5"/>
    <w:rsid w:val="000F0DFE"/>
    <w:rsid w:val="000F22A2"/>
    <w:rsid w:val="000F2852"/>
    <w:rsid w:val="000F33D0"/>
    <w:rsid w:val="000F4F67"/>
    <w:rsid w:val="000F7AD3"/>
    <w:rsid w:val="001013F7"/>
    <w:rsid w:val="00105280"/>
    <w:rsid w:val="001064E0"/>
    <w:rsid w:val="00110286"/>
    <w:rsid w:val="001104BE"/>
    <w:rsid w:val="0011088C"/>
    <w:rsid w:val="00111FA8"/>
    <w:rsid w:val="00117526"/>
    <w:rsid w:val="00120ED7"/>
    <w:rsid w:val="001213A0"/>
    <w:rsid w:val="00122C0E"/>
    <w:rsid w:val="001239F5"/>
    <w:rsid w:val="001307E3"/>
    <w:rsid w:val="001361FD"/>
    <w:rsid w:val="00137A69"/>
    <w:rsid w:val="00141AEB"/>
    <w:rsid w:val="0015194A"/>
    <w:rsid w:val="001528D3"/>
    <w:rsid w:val="00152C4E"/>
    <w:rsid w:val="00154C71"/>
    <w:rsid w:val="00155303"/>
    <w:rsid w:val="0015597D"/>
    <w:rsid w:val="001609C6"/>
    <w:rsid w:val="001619B1"/>
    <w:rsid w:val="00172394"/>
    <w:rsid w:val="0018039A"/>
    <w:rsid w:val="00181A63"/>
    <w:rsid w:val="00183FB3"/>
    <w:rsid w:val="001844EE"/>
    <w:rsid w:val="001847EF"/>
    <w:rsid w:val="001849FC"/>
    <w:rsid w:val="0019440D"/>
    <w:rsid w:val="001945A8"/>
    <w:rsid w:val="00194B68"/>
    <w:rsid w:val="001A0D6F"/>
    <w:rsid w:val="001A15EF"/>
    <w:rsid w:val="001A1E04"/>
    <w:rsid w:val="001A2AAD"/>
    <w:rsid w:val="001A4870"/>
    <w:rsid w:val="001A48E2"/>
    <w:rsid w:val="001B0689"/>
    <w:rsid w:val="001B4B0C"/>
    <w:rsid w:val="001B6528"/>
    <w:rsid w:val="001B762D"/>
    <w:rsid w:val="001C0836"/>
    <w:rsid w:val="001C137C"/>
    <w:rsid w:val="001C58E2"/>
    <w:rsid w:val="001C65B0"/>
    <w:rsid w:val="001C7D59"/>
    <w:rsid w:val="001D2223"/>
    <w:rsid w:val="001D2238"/>
    <w:rsid w:val="001E1672"/>
    <w:rsid w:val="001E588D"/>
    <w:rsid w:val="001E6419"/>
    <w:rsid w:val="001E6A6B"/>
    <w:rsid w:val="001E7C76"/>
    <w:rsid w:val="001F0E91"/>
    <w:rsid w:val="001F2B2E"/>
    <w:rsid w:val="001F40A2"/>
    <w:rsid w:val="001F4552"/>
    <w:rsid w:val="00200C15"/>
    <w:rsid w:val="00201B81"/>
    <w:rsid w:val="0020209B"/>
    <w:rsid w:val="002021A3"/>
    <w:rsid w:val="00203F76"/>
    <w:rsid w:val="00211C3C"/>
    <w:rsid w:val="002163F0"/>
    <w:rsid w:val="002169B0"/>
    <w:rsid w:val="00216FC2"/>
    <w:rsid w:val="002173CB"/>
    <w:rsid w:val="00217C3D"/>
    <w:rsid w:val="00217DD0"/>
    <w:rsid w:val="00223050"/>
    <w:rsid w:val="00223146"/>
    <w:rsid w:val="00231626"/>
    <w:rsid w:val="002345F1"/>
    <w:rsid w:val="00237B1A"/>
    <w:rsid w:val="0025304B"/>
    <w:rsid w:val="002536E7"/>
    <w:rsid w:val="00253DFB"/>
    <w:rsid w:val="00253F38"/>
    <w:rsid w:val="002555A5"/>
    <w:rsid w:val="00256028"/>
    <w:rsid w:val="00257017"/>
    <w:rsid w:val="00261068"/>
    <w:rsid w:val="00261F30"/>
    <w:rsid w:val="002642D1"/>
    <w:rsid w:val="00265646"/>
    <w:rsid w:val="00266292"/>
    <w:rsid w:val="00266FB8"/>
    <w:rsid w:val="0027128B"/>
    <w:rsid w:val="00275428"/>
    <w:rsid w:val="00275A41"/>
    <w:rsid w:val="00280290"/>
    <w:rsid w:val="0028171E"/>
    <w:rsid w:val="00295FBA"/>
    <w:rsid w:val="002A4D42"/>
    <w:rsid w:val="002A5BD0"/>
    <w:rsid w:val="002B1991"/>
    <w:rsid w:val="002B5CF4"/>
    <w:rsid w:val="002B6CA9"/>
    <w:rsid w:val="002C4076"/>
    <w:rsid w:val="002D2BB8"/>
    <w:rsid w:val="002D4C8D"/>
    <w:rsid w:val="002D716C"/>
    <w:rsid w:val="002E3323"/>
    <w:rsid w:val="002E5DD7"/>
    <w:rsid w:val="002E64A2"/>
    <w:rsid w:val="002E6CF4"/>
    <w:rsid w:val="002F0634"/>
    <w:rsid w:val="002F111E"/>
    <w:rsid w:val="002F2B5F"/>
    <w:rsid w:val="002F4BEB"/>
    <w:rsid w:val="00300165"/>
    <w:rsid w:val="003049C4"/>
    <w:rsid w:val="003078A3"/>
    <w:rsid w:val="00307918"/>
    <w:rsid w:val="00312CFF"/>
    <w:rsid w:val="00317950"/>
    <w:rsid w:val="00320563"/>
    <w:rsid w:val="003251F7"/>
    <w:rsid w:val="00326564"/>
    <w:rsid w:val="00340371"/>
    <w:rsid w:val="00341387"/>
    <w:rsid w:val="00343A4F"/>
    <w:rsid w:val="00343D90"/>
    <w:rsid w:val="00345683"/>
    <w:rsid w:val="00346865"/>
    <w:rsid w:val="00355BF8"/>
    <w:rsid w:val="0035723C"/>
    <w:rsid w:val="003601CB"/>
    <w:rsid w:val="00360C3F"/>
    <w:rsid w:val="00364BBA"/>
    <w:rsid w:val="00366413"/>
    <w:rsid w:val="00370184"/>
    <w:rsid w:val="003739FD"/>
    <w:rsid w:val="00380AFA"/>
    <w:rsid w:val="00381B42"/>
    <w:rsid w:val="00382B55"/>
    <w:rsid w:val="00383734"/>
    <w:rsid w:val="003849DF"/>
    <w:rsid w:val="003869D1"/>
    <w:rsid w:val="00387200"/>
    <w:rsid w:val="0039060F"/>
    <w:rsid w:val="00390DA9"/>
    <w:rsid w:val="00390F92"/>
    <w:rsid w:val="003922D4"/>
    <w:rsid w:val="00395DEA"/>
    <w:rsid w:val="003A31F1"/>
    <w:rsid w:val="003A3333"/>
    <w:rsid w:val="003A41A5"/>
    <w:rsid w:val="003A6064"/>
    <w:rsid w:val="003A70D5"/>
    <w:rsid w:val="003A7188"/>
    <w:rsid w:val="003A7DB3"/>
    <w:rsid w:val="003B026B"/>
    <w:rsid w:val="003B0AA7"/>
    <w:rsid w:val="003B0B0C"/>
    <w:rsid w:val="003B2745"/>
    <w:rsid w:val="003B5A1D"/>
    <w:rsid w:val="003B5C9C"/>
    <w:rsid w:val="003C2FBF"/>
    <w:rsid w:val="003D378D"/>
    <w:rsid w:val="003D4D07"/>
    <w:rsid w:val="003D4EAF"/>
    <w:rsid w:val="003D4EEA"/>
    <w:rsid w:val="003D77C8"/>
    <w:rsid w:val="003D7C16"/>
    <w:rsid w:val="003E01D5"/>
    <w:rsid w:val="003E20E4"/>
    <w:rsid w:val="003E34DE"/>
    <w:rsid w:val="003E518A"/>
    <w:rsid w:val="003F0BD5"/>
    <w:rsid w:val="003F18AE"/>
    <w:rsid w:val="003F2D3B"/>
    <w:rsid w:val="003F7098"/>
    <w:rsid w:val="0040287D"/>
    <w:rsid w:val="00402C5F"/>
    <w:rsid w:val="004110DF"/>
    <w:rsid w:val="004120D5"/>
    <w:rsid w:val="00412123"/>
    <w:rsid w:val="00412A87"/>
    <w:rsid w:val="0041330C"/>
    <w:rsid w:val="00417FF8"/>
    <w:rsid w:val="00421380"/>
    <w:rsid w:val="00421C5E"/>
    <w:rsid w:val="00423006"/>
    <w:rsid w:val="0042434D"/>
    <w:rsid w:val="00435237"/>
    <w:rsid w:val="004364FB"/>
    <w:rsid w:val="0043728B"/>
    <w:rsid w:val="004456B2"/>
    <w:rsid w:val="0045264B"/>
    <w:rsid w:val="00456AEC"/>
    <w:rsid w:val="0046194F"/>
    <w:rsid w:val="00464B0A"/>
    <w:rsid w:val="004658D8"/>
    <w:rsid w:val="00465966"/>
    <w:rsid w:val="0047033A"/>
    <w:rsid w:val="004717C7"/>
    <w:rsid w:val="00472A9C"/>
    <w:rsid w:val="00473C64"/>
    <w:rsid w:val="004742AF"/>
    <w:rsid w:val="00484004"/>
    <w:rsid w:val="0048572E"/>
    <w:rsid w:val="00485D98"/>
    <w:rsid w:val="004861D0"/>
    <w:rsid w:val="0048622E"/>
    <w:rsid w:val="0048638F"/>
    <w:rsid w:val="0049053D"/>
    <w:rsid w:val="0049170B"/>
    <w:rsid w:val="004936DC"/>
    <w:rsid w:val="004942DB"/>
    <w:rsid w:val="004970B2"/>
    <w:rsid w:val="004974CA"/>
    <w:rsid w:val="00497DAC"/>
    <w:rsid w:val="004A0E7B"/>
    <w:rsid w:val="004A2F2F"/>
    <w:rsid w:val="004A3108"/>
    <w:rsid w:val="004A37DC"/>
    <w:rsid w:val="004A6155"/>
    <w:rsid w:val="004B136B"/>
    <w:rsid w:val="004B1D54"/>
    <w:rsid w:val="004B421C"/>
    <w:rsid w:val="004B459B"/>
    <w:rsid w:val="004B73EF"/>
    <w:rsid w:val="004C07E4"/>
    <w:rsid w:val="004C2A0F"/>
    <w:rsid w:val="004C315A"/>
    <w:rsid w:val="004C4000"/>
    <w:rsid w:val="004C4417"/>
    <w:rsid w:val="004C58DA"/>
    <w:rsid w:val="004C658E"/>
    <w:rsid w:val="004D0CD2"/>
    <w:rsid w:val="004D10B2"/>
    <w:rsid w:val="004D2F4F"/>
    <w:rsid w:val="004E19FF"/>
    <w:rsid w:val="004E2087"/>
    <w:rsid w:val="004E6646"/>
    <w:rsid w:val="004E6A26"/>
    <w:rsid w:val="004F0063"/>
    <w:rsid w:val="004F182E"/>
    <w:rsid w:val="004F2FE5"/>
    <w:rsid w:val="004F3627"/>
    <w:rsid w:val="004F3B4E"/>
    <w:rsid w:val="004F5EDE"/>
    <w:rsid w:val="004F6A14"/>
    <w:rsid w:val="004F6CCA"/>
    <w:rsid w:val="00500970"/>
    <w:rsid w:val="00501CDA"/>
    <w:rsid w:val="00504924"/>
    <w:rsid w:val="00506826"/>
    <w:rsid w:val="0051031B"/>
    <w:rsid w:val="005111E7"/>
    <w:rsid w:val="00512A78"/>
    <w:rsid w:val="00517253"/>
    <w:rsid w:val="0052184B"/>
    <w:rsid w:val="00522066"/>
    <w:rsid w:val="00522CAC"/>
    <w:rsid w:val="00524655"/>
    <w:rsid w:val="00524F2A"/>
    <w:rsid w:val="0052511F"/>
    <w:rsid w:val="00525536"/>
    <w:rsid w:val="0052735F"/>
    <w:rsid w:val="0053145E"/>
    <w:rsid w:val="005316C6"/>
    <w:rsid w:val="00532C62"/>
    <w:rsid w:val="00534C7C"/>
    <w:rsid w:val="00535B13"/>
    <w:rsid w:val="00536BB1"/>
    <w:rsid w:val="00546D94"/>
    <w:rsid w:val="00553137"/>
    <w:rsid w:val="00561F44"/>
    <w:rsid w:val="00565AD8"/>
    <w:rsid w:val="00567741"/>
    <w:rsid w:val="00567BDF"/>
    <w:rsid w:val="0057072C"/>
    <w:rsid w:val="005711AB"/>
    <w:rsid w:val="00577BFE"/>
    <w:rsid w:val="00583870"/>
    <w:rsid w:val="00583CD5"/>
    <w:rsid w:val="00584BD5"/>
    <w:rsid w:val="00585074"/>
    <w:rsid w:val="00592C40"/>
    <w:rsid w:val="005933E6"/>
    <w:rsid w:val="005975F7"/>
    <w:rsid w:val="005A1264"/>
    <w:rsid w:val="005A335B"/>
    <w:rsid w:val="005A507D"/>
    <w:rsid w:val="005A7B3B"/>
    <w:rsid w:val="005B62C5"/>
    <w:rsid w:val="005B7F23"/>
    <w:rsid w:val="005C0618"/>
    <w:rsid w:val="005C3266"/>
    <w:rsid w:val="005C448A"/>
    <w:rsid w:val="005C60E5"/>
    <w:rsid w:val="005D1057"/>
    <w:rsid w:val="005D271B"/>
    <w:rsid w:val="005E5A17"/>
    <w:rsid w:val="005E5B9B"/>
    <w:rsid w:val="005E663D"/>
    <w:rsid w:val="005F310B"/>
    <w:rsid w:val="005F4D3B"/>
    <w:rsid w:val="005F6BD8"/>
    <w:rsid w:val="005F7E0A"/>
    <w:rsid w:val="00601852"/>
    <w:rsid w:val="00602C1E"/>
    <w:rsid w:val="00604483"/>
    <w:rsid w:val="0061045F"/>
    <w:rsid w:val="00616097"/>
    <w:rsid w:val="0061624B"/>
    <w:rsid w:val="006207B7"/>
    <w:rsid w:val="00625792"/>
    <w:rsid w:val="006257D5"/>
    <w:rsid w:val="00625C8C"/>
    <w:rsid w:val="006320A8"/>
    <w:rsid w:val="00632495"/>
    <w:rsid w:val="00635F1F"/>
    <w:rsid w:val="0063780B"/>
    <w:rsid w:val="00642735"/>
    <w:rsid w:val="00651184"/>
    <w:rsid w:val="0065450A"/>
    <w:rsid w:val="00654B16"/>
    <w:rsid w:val="00661622"/>
    <w:rsid w:val="0066164E"/>
    <w:rsid w:val="00664810"/>
    <w:rsid w:val="00670163"/>
    <w:rsid w:val="0068359C"/>
    <w:rsid w:val="0068485E"/>
    <w:rsid w:val="00686061"/>
    <w:rsid w:val="00686260"/>
    <w:rsid w:val="006912BD"/>
    <w:rsid w:val="0069221B"/>
    <w:rsid w:val="00696106"/>
    <w:rsid w:val="00696A2E"/>
    <w:rsid w:val="0069760E"/>
    <w:rsid w:val="006A02C1"/>
    <w:rsid w:val="006A2136"/>
    <w:rsid w:val="006A5C66"/>
    <w:rsid w:val="006A61B3"/>
    <w:rsid w:val="006A6311"/>
    <w:rsid w:val="006B01A7"/>
    <w:rsid w:val="006B0634"/>
    <w:rsid w:val="006B20A8"/>
    <w:rsid w:val="006B4033"/>
    <w:rsid w:val="006B5299"/>
    <w:rsid w:val="006B7FDE"/>
    <w:rsid w:val="006C0F03"/>
    <w:rsid w:val="006C5C5E"/>
    <w:rsid w:val="006C5D92"/>
    <w:rsid w:val="006D24ED"/>
    <w:rsid w:val="006D2FF3"/>
    <w:rsid w:val="006D351E"/>
    <w:rsid w:val="006E0499"/>
    <w:rsid w:val="006E11D0"/>
    <w:rsid w:val="006E4A32"/>
    <w:rsid w:val="006E6148"/>
    <w:rsid w:val="006F1FCA"/>
    <w:rsid w:val="006F31AB"/>
    <w:rsid w:val="006F325D"/>
    <w:rsid w:val="006F52BA"/>
    <w:rsid w:val="007003A0"/>
    <w:rsid w:val="0070319A"/>
    <w:rsid w:val="00703339"/>
    <w:rsid w:val="007048FD"/>
    <w:rsid w:val="00705907"/>
    <w:rsid w:val="00705B90"/>
    <w:rsid w:val="00707E69"/>
    <w:rsid w:val="00710974"/>
    <w:rsid w:val="0072247C"/>
    <w:rsid w:val="00727779"/>
    <w:rsid w:val="0073004D"/>
    <w:rsid w:val="00732FD4"/>
    <w:rsid w:val="00735909"/>
    <w:rsid w:val="0073596E"/>
    <w:rsid w:val="007360BA"/>
    <w:rsid w:val="00740521"/>
    <w:rsid w:val="00740F60"/>
    <w:rsid w:val="00740FEF"/>
    <w:rsid w:val="00742EF0"/>
    <w:rsid w:val="00743A37"/>
    <w:rsid w:val="007469BF"/>
    <w:rsid w:val="0074713A"/>
    <w:rsid w:val="00751CFF"/>
    <w:rsid w:val="007536C1"/>
    <w:rsid w:val="007553E5"/>
    <w:rsid w:val="00755D8F"/>
    <w:rsid w:val="007611F8"/>
    <w:rsid w:val="00762B37"/>
    <w:rsid w:val="00763F7C"/>
    <w:rsid w:val="0076495D"/>
    <w:rsid w:val="00764D9F"/>
    <w:rsid w:val="00766F1B"/>
    <w:rsid w:val="00767304"/>
    <w:rsid w:val="007708A9"/>
    <w:rsid w:val="0077301C"/>
    <w:rsid w:val="00775BF0"/>
    <w:rsid w:val="00777BE3"/>
    <w:rsid w:val="0078018F"/>
    <w:rsid w:val="00780D3F"/>
    <w:rsid w:val="00780F68"/>
    <w:rsid w:val="00783945"/>
    <w:rsid w:val="00785C44"/>
    <w:rsid w:val="00786A37"/>
    <w:rsid w:val="00786C18"/>
    <w:rsid w:val="007870DC"/>
    <w:rsid w:val="00787583"/>
    <w:rsid w:val="007901CE"/>
    <w:rsid w:val="00790C59"/>
    <w:rsid w:val="00796A56"/>
    <w:rsid w:val="007A1670"/>
    <w:rsid w:val="007A4690"/>
    <w:rsid w:val="007A6074"/>
    <w:rsid w:val="007B18D5"/>
    <w:rsid w:val="007B4B72"/>
    <w:rsid w:val="007C05C0"/>
    <w:rsid w:val="007C237C"/>
    <w:rsid w:val="007C2481"/>
    <w:rsid w:val="007C40EA"/>
    <w:rsid w:val="007C5068"/>
    <w:rsid w:val="007D4DBB"/>
    <w:rsid w:val="007D5455"/>
    <w:rsid w:val="007D61BC"/>
    <w:rsid w:val="007E0F5A"/>
    <w:rsid w:val="007E4D56"/>
    <w:rsid w:val="007E58DA"/>
    <w:rsid w:val="007F0223"/>
    <w:rsid w:val="007F25A7"/>
    <w:rsid w:val="007F340D"/>
    <w:rsid w:val="007F3745"/>
    <w:rsid w:val="007F69B6"/>
    <w:rsid w:val="00800988"/>
    <w:rsid w:val="00801D96"/>
    <w:rsid w:val="0080485D"/>
    <w:rsid w:val="00805088"/>
    <w:rsid w:val="0080745E"/>
    <w:rsid w:val="00820023"/>
    <w:rsid w:val="00823589"/>
    <w:rsid w:val="00831DEA"/>
    <w:rsid w:val="00840B00"/>
    <w:rsid w:val="00842852"/>
    <w:rsid w:val="00850260"/>
    <w:rsid w:val="00851436"/>
    <w:rsid w:val="00852DBF"/>
    <w:rsid w:val="008534FD"/>
    <w:rsid w:val="008551B9"/>
    <w:rsid w:val="0085794E"/>
    <w:rsid w:val="00863029"/>
    <w:rsid w:val="00863F4D"/>
    <w:rsid w:val="00864174"/>
    <w:rsid w:val="00864D43"/>
    <w:rsid w:val="0086736D"/>
    <w:rsid w:val="00874DBD"/>
    <w:rsid w:val="00875871"/>
    <w:rsid w:val="00880E25"/>
    <w:rsid w:val="0088172B"/>
    <w:rsid w:val="00881C9F"/>
    <w:rsid w:val="00881E10"/>
    <w:rsid w:val="008849DC"/>
    <w:rsid w:val="00890B1B"/>
    <w:rsid w:val="0089224C"/>
    <w:rsid w:val="00893398"/>
    <w:rsid w:val="008944E2"/>
    <w:rsid w:val="008974D7"/>
    <w:rsid w:val="008A3A82"/>
    <w:rsid w:val="008A6BA3"/>
    <w:rsid w:val="008B4333"/>
    <w:rsid w:val="008B680E"/>
    <w:rsid w:val="008C0B4B"/>
    <w:rsid w:val="008D074A"/>
    <w:rsid w:val="008D1380"/>
    <w:rsid w:val="008D32C1"/>
    <w:rsid w:val="008D3D20"/>
    <w:rsid w:val="008D5976"/>
    <w:rsid w:val="008D5EB8"/>
    <w:rsid w:val="008D675A"/>
    <w:rsid w:val="008E534F"/>
    <w:rsid w:val="008F09D3"/>
    <w:rsid w:val="008F2249"/>
    <w:rsid w:val="008F35E3"/>
    <w:rsid w:val="008F46F1"/>
    <w:rsid w:val="008F72AC"/>
    <w:rsid w:val="008F7774"/>
    <w:rsid w:val="00903D4C"/>
    <w:rsid w:val="00907195"/>
    <w:rsid w:val="0090720D"/>
    <w:rsid w:val="00910489"/>
    <w:rsid w:val="00910F03"/>
    <w:rsid w:val="009232A8"/>
    <w:rsid w:val="00923627"/>
    <w:rsid w:val="00925F2F"/>
    <w:rsid w:val="00925F31"/>
    <w:rsid w:val="0092728E"/>
    <w:rsid w:val="009317D8"/>
    <w:rsid w:val="00931F47"/>
    <w:rsid w:val="00934269"/>
    <w:rsid w:val="00936DC5"/>
    <w:rsid w:val="009409B7"/>
    <w:rsid w:val="00941886"/>
    <w:rsid w:val="009522DF"/>
    <w:rsid w:val="0095573B"/>
    <w:rsid w:val="00956BFC"/>
    <w:rsid w:val="009577FD"/>
    <w:rsid w:val="009659AB"/>
    <w:rsid w:val="00972044"/>
    <w:rsid w:val="00974CA1"/>
    <w:rsid w:val="00975084"/>
    <w:rsid w:val="009752E8"/>
    <w:rsid w:val="009808F9"/>
    <w:rsid w:val="00981443"/>
    <w:rsid w:val="00981B40"/>
    <w:rsid w:val="00982A05"/>
    <w:rsid w:val="00987F69"/>
    <w:rsid w:val="0099238A"/>
    <w:rsid w:val="00995960"/>
    <w:rsid w:val="00995E56"/>
    <w:rsid w:val="00997E3D"/>
    <w:rsid w:val="009A3296"/>
    <w:rsid w:val="009A3639"/>
    <w:rsid w:val="009A6952"/>
    <w:rsid w:val="009A6AD4"/>
    <w:rsid w:val="009B5948"/>
    <w:rsid w:val="009B75D8"/>
    <w:rsid w:val="009C0372"/>
    <w:rsid w:val="009C55B3"/>
    <w:rsid w:val="009D056D"/>
    <w:rsid w:val="009D5C7F"/>
    <w:rsid w:val="009D62C7"/>
    <w:rsid w:val="009E14E3"/>
    <w:rsid w:val="009E43E0"/>
    <w:rsid w:val="009E525D"/>
    <w:rsid w:val="009F0A6C"/>
    <w:rsid w:val="009F16AC"/>
    <w:rsid w:val="009F419F"/>
    <w:rsid w:val="009F46A0"/>
    <w:rsid w:val="00A01E28"/>
    <w:rsid w:val="00A045B4"/>
    <w:rsid w:val="00A07E44"/>
    <w:rsid w:val="00A101A3"/>
    <w:rsid w:val="00A13F76"/>
    <w:rsid w:val="00A1748D"/>
    <w:rsid w:val="00A23A80"/>
    <w:rsid w:val="00A24357"/>
    <w:rsid w:val="00A31D2A"/>
    <w:rsid w:val="00A33B6B"/>
    <w:rsid w:val="00A355B4"/>
    <w:rsid w:val="00A413A0"/>
    <w:rsid w:val="00A41F67"/>
    <w:rsid w:val="00A43543"/>
    <w:rsid w:val="00A47F48"/>
    <w:rsid w:val="00A5189D"/>
    <w:rsid w:val="00A52A61"/>
    <w:rsid w:val="00A550B2"/>
    <w:rsid w:val="00A553A2"/>
    <w:rsid w:val="00A56060"/>
    <w:rsid w:val="00A56A19"/>
    <w:rsid w:val="00A649E8"/>
    <w:rsid w:val="00A66DFB"/>
    <w:rsid w:val="00A67E80"/>
    <w:rsid w:val="00A72171"/>
    <w:rsid w:val="00A80694"/>
    <w:rsid w:val="00A82264"/>
    <w:rsid w:val="00A837F7"/>
    <w:rsid w:val="00A85511"/>
    <w:rsid w:val="00A86598"/>
    <w:rsid w:val="00A865BE"/>
    <w:rsid w:val="00A86AEF"/>
    <w:rsid w:val="00A872BD"/>
    <w:rsid w:val="00A90F69"/>
    <w:rsid w:val="00A972BF"/>
    <w:rsid w:val="00AA081D"/>
    <w:rsid w:val="00AA4A71"/>
    <w:rsid w:val="00AA51A7"/>
    <w:rsid w:val="00AA5A5E"/>
    <w:rsid w:val="00AA5A7B"/>
    <w:rsid w:val="00AB2058"/>
    <w:rsid w:val="00AB307D"/>
    <w:rsid w:val="00AB47A7"/>
    <w:rsid w:val="00AB53E2"/>
    <w:rsid w:val="00AB61E8"/>
    <w:rsid w:val="00AC0076"/>
    <w:rsid w:val="00AC1161"/>
    <w:rsid w:val="00AD57E2"/>
    <w:rsid w:val="00AD77D6"/>
    <w:rsid w:val="00AD7E62"/>
    <w:rsid w:val="00AE1C90"/>
    <w:rsid w:val="00AE6D6C"/>
    <w:rsid w:val="00AE7F51"/>
    <w:rsid w:val="00AF07F4"/>
    <w:rsid w:val="00AF292A"/>
    <w:rsid w:val="00AF32A0"/>
    <w:rsid w:val="00AF58D6"/>
    <w:rsid w:val="00AF6D64"/>
    <w:rsid w:val="00AF7925"/>
    <w:rsid w:val="00B115BA"/>
    <w:rsid w:val="00B12A95"/>
    <w:rsid w:val="00B1339F"/>
    <w:rsid w:val="00B141B0"/>
    <w:rsid w:val="00B228F9"/>
    <w:rsid w:val="00B2381C"/>
    <w:rsid w:val="00B27F3C"/>
    <w:rsid w:val="00B30B87"/>
    <w:rsid w:val="00B32ADC"/>
    <w:rsid w:val="00B364E8"/>
    <w:rsid w:val="00B407A7"/>
    <w:rsid w:val="00B4131C"/>
    <w:rsid w:val="00B4188F"/>
    <w:rsid w:val="00B42B9A"/>
    <w:rsid w:val="00B441A1"/>
    <w:rsid w:val="00B50BB8"/>
    <w:rsid w:val="00B5355A"/>
    <w:rsid w:val="00B62C3F"/>
    <w:rsid w:val="00B646F3"/>
    <w:rsid w:val="00B65B9C"/>
    <w:rsid w:val="00B667FC"/>
    <w:rsid w:val="00B71F58"/>
    <w:rsid w:val="00B7224B"/>
    <w:rsid w:val="00B74FEF"/>
    <w:rsid w:val="00B77D41"/>
    <w:rsid w:val="00B81DD9"/>
    <w:rsid w:val="00B825A2"/>
    <w:rsid w:val="00B8377A"/>
    <w:rsid w:val="00B84CAE"/>
    <w:rsid w:val="00B85596"/>
    <w:rsid w:val="00B856AF"/>
    <w:rsid w:val="00B85C97"/>
    <w:rsid w:val="00B86173"/>
    <w:rsid w:val="00B86E79"/>
    <w:rsid w:val="00B9210D"/>
    <w:rsid w:val="00B95A4C"/>
    <w:rsid w:val="00BA06ED"/>
    <w:rsid w:val="00BB000E"/>
    <w:rsid w:val="00BB1287"/>
    <w:rsid w:val="00BB3967"/>
    <w:rsid w:val="00BB3DCA"/>
    <w:rsid w:val="00BB5287"/>
    <w:rsid w:val="00BB597B"/>
    <w:rsid w:val="00BB7696"/>
    <w:rsid w:val="00BB7A5E"/>
    <w:rsid w:val="00BC60D9"/>
    <w:rsid w:val="00BC6B93"/>
    <w:rsid w:val="00BC79B6"/>
    <w:rsid w:val="00BC7E13"/>
    <w:rsid w:val="00BD0257"/>
    <w:rsid w:val="00BD3EE6"/>
    <w:rsid w:val="00BD6D40"/>
    <w:rsid w:val="00BD703D"/>
    <w:rsid w:val="00BE1110"/>
    <w:rsid w:val="00BE2327"/>
    <w:rsid w:val="00BE3005"/>
    <w:rsid w:val="00BE31FD"/>
    <w:rsid w:val="00BE4757"/>
    <w:rsid w:val="00BE658A"/>
    <w:rsid w:val="00BF3F61"/>
    <w:rsid w:val="00BF78E7"/>
    <w:rsid w:val="00C04431"/>
    <w:rsid w:val="00C05588"/>
    <w:rsid w:val="00C11034"/>
    <w:rsid w:val="00C110C5"/>
    <w:rsid w:val="00C13CA2"/>
    <w:rsid w:val="00C153E0"/>
    <w:rsid w:val="00C16817"/>
    <w:rsid w:val="00C27B15"/>
    <w:rsid w:val="00C34D44"/>
    <w:rsid w:val="00C3583A"/>
    <w:rsid w:val="00C358E8"/>
    <w:rsid w:val="00C35A75"/>
    <w:rsid w:val="00C35F55"/>
    <w:rsid w:val="00C465F6"/>
    <w:rsid w:val="00C46C8E"/>
    <w:rsid w:val="00C47970"/>
    <w:rsid w:val="00C51108"/>
    <w:rsid w:val="00C514A7"/>
    <w:rsid w:val="00C5287B"/>
    <w:rsid w:val="00C576F9"/>
    <w:rsid w:val="00C62BDA"/>
    <w:rsid w:val="00C67849"/>
    <w:rsid w:val="00C708DF"/>
    <w:rsid w:val="00C73832"/>
    <w:rsid w:val="00C73BE2"/>
    <w:rsid w:val="00C85FAC"/>
    <w:rsid w:val="00C96B5D"/>
    <w:rsid w:val="00C971AB"/>
    <w:rsid w:val="00CA3221"/>
    <w:rsid w:val="00CA3E20"/>
    <w:rsid w:val="00CA5FAA"/>
    <w:rsid w:val="00CA7DF0"/>
    <w:rsid w:val="00CB3325"/>
    <w:rsid w:val="00CB5DEA"/>
    <w:rsid w:val="00CB7439"/>
    <w:rsid w:val="00CC0A42"/>
    <w:rsid w:val="00CC350D"/>
    <w:rsid w:val="00CC4ABD"/>
    <w:rsid w:val="00CC6E64"/>
    <w:rsid w:val="00CC6EC6"/>
    <w:rsid w:val="00CC78A2"/>
    <w:rsid w:val="00CD7720"/>
    <w:rsid w:val="00CE0143"/>
    <w:rsid w:val="00CE2A24"/>
    <w:rsid w:val="00CF0C72"/>
    <w:rsid w:val="00CF17D2"/>
    <w:rsid w:val="00D014AE"/>
    <w:rsid w:val="00D0173D"/>
    <w:rsid w:val="00D039A0"/>
    <w:rsid w:val="00D05AEF"/>
    <w:rsid w:val="00D12E2D"/>
    <w:rsid w:val="00D14028"/>
    <w:rsid w:val="00D2035F"/>
    <w:rsid w:val="00D20707"/>
    <w:rsid w:val="00D20B79"/>
    <w:rsid w:val="00D24E78"/>
    <w:rsid w:val="00D26074"/>
    <w:rsid w:val="00D27446"/>
    <w:rsid w:val="00D27789"/>
    <w:rsid w:val="00D31643"/>
    <w:rsid w:val="00D325E3"/>
    <w:rsid w:val="00D32F46"/>
    <w:rsid w:val="00D36464"/>
    <w:rsid w:val="00D37975"/>
    <w:rsid w:val="00D40543"/>
    <w:rsid w:val="00D51973"/>
    <w:rsid w:val="00D53878"/>
    <w:rsid w:val="00D54281"/>
    <w:rsid w:val="00D55E07"/>
    <w:rsid w:val="00D56D80"/>
    <w:rsid w:val="00D627AC"/>
    <w:rsid w:val="00D70B47"/>
    <w:rsid w:val="00D72519"/>
    <w:rsid w:val="00D73DA3"/>
    <w:rsid w:val="00D82325"/>
    <w:rsid w:val="00D852DD"/>
    <w:rsid w:val="00D8737F"/>
    <w:rsid w:val="00D87F49"/>
    <w:rsid w:val="00D922FE"/>
    <w:rsid w:val="00D92AC1"/>
    <w:rsid w:val="00D94D71"/>
    <w:rsid w:val="00D96F07"/>
    <w:rsid w:val="00D97C2D"/>
    <w:rsid w:val="00DA203D"/>
    <w:rsid w:val="00DA4028"/>
    <w:rsid w:val="00DA4AFA"/>
    <w:rsid w:val="00DA57D3"/>
    <w:rsid w:val="00DA6710"/>
    <w:rsid w:val="00DA743C"/>
    <w:rsid w:val="00DB4BA9"/>
    <w:rsid w:val="00DB671A"/>
    <w:rsid w:val="00DC0327"/>
    <w:rsid w:val="00DC337E"/>
    <w:rsid w:val="00DC3CD0"/>
    <w:rsid w:val="00DC41A4"/>
    <w:rsid w:val="00DC5A04"/>
    <w:rsid w:val="00DC7213"/>
    <w:rsid w:val="00DD0E0A"/>
    <w:rsid w:val="00DD4A02"/>
    <w:rsid w:val="00DD6929"/>
    <w:rsid w:val="00DE086A"/>
    <w:rsid w:val="00DE1691"/>
    <w:rsid w:val="00DE3785"/>
    <w:rsid w:val="00DE4D6E"/>
    <w:rsid w:val="00DE5E95"/>
    <w:rsid w:val="00DE6B4A"/>
    <w:rsid w:val="00DE7EBB"/>
    <w:rsid w:val="00DF0ACA"/>
    <w:rsid w:val="00DF0BA3"/>
    <w:rsid w:val="00DF5280"/>
    <w:rsid w:val="00E0568F"/>
    <w:rsid w:val="00E06A78"/>
    <w:rsid w:val="00E126C2"/>
    <w:rsid w:val="00E13073"/>
    <w:rsid w:val="00E15D72"/>
    <w:rsid w:val="00E2051F"/>
    <w:rsid w:val="00E24CB9"/>
    <w:rsid w:val="00E27FCB"/>
    <w:rsid w:val="00E310B5"/>
    <w:rsid w:val="00E3154C"/>
    <w:rsid w:val="00E341D2"/>
    <w:rsid w:val="00E367F4"/>
    <w:rsid w:val="00E41584"/>
    <w:rsid w:val="00E4215C"/>
    <w:rsid w:val="00E4418D"/>
    <w:rsid w:val="00E5444C"/>
    <w:rsid w:val="00E57676"/>
    <w:rsid w:val="00E62E0C"/>
    <w:rsid w:val="00E709BB"/>
    <w:rsid w:val="00E70D3B"/>
    <w:rsid w:val="00E72915"/>
    <w:rsid w:val="00E72F42"/>
    <w:rsid w:val="00E73053"/>
    <w:rsid w:val="00E733EE"/>
    <w:rsid w:val="00E751CD"/>
    <w:rsid w:val="00E75AA8"/>
    <w:rsid w:val="00E76885"/>
    <w:rsid w:val="00E7705B"/>
    <w:rsid w:val="00E82050"/>
    <w:rsid w:val="00E83F38"/>
    <w:rsid w:val="00E84677"/>
    <w:rsid w:val="00E8513C"/>
    <w:rsid w:val="00E86EB6"/>
    <w:rsid w:val="00E91704"/>
    <w:rsid w:val="00E941F8"/>
    <w:rsid w:val="00E96E06"/>
    <w:rsid w:val="00EA034E"/>
    <w:rsid w:val="00EA5208"/>
    <w:rsid w:val="00EA5BCB"/>
    <w:rsid w:val="00EB265B"/>
    <w:rsid w:val="00EB3E62"/>
    <w:rsid w:val="00EB5D51"/>
    <w:rsid w:val="00EB68D7"/>
    <w:rsid w:val="00EC0240"/>
    <w:rsid w:val="00EC3994"/>
    <w:rsid w:val="00EC4B75"/>
    <w:rsid w:val="00EC4B95"/>
    <w:rsid w:val="00EC583C"/>
    <w:rsid w:val="00ED104B"/>
    <w:rsid w:val="00ED14C1"/>
    <w:rsid w:val="00ED15BB"/>
    <w:rsid w:val="00ED497E"/>
    <w:rsid w:val="00ED61AF"/>
    <w:rsid w:val="00ED6662"/>
    <w:rsid w:val="00ED75F9"/>
    <w:rsid w:val="00EE0F78"/>
    <w:rsid w:val="00EE3C98"/>
    <w:rsid w:val="00EE40DA"/>
    <w:rsid w:val="00EE6A10"/>
    <w:rsid w:val="00EF06B0"/>
    <w:rsid w:val="00EF10AA"/>
    <w:rsid w:val="00EF1372"/>
    <w:rsid w:val="00EF161E"/>
    <w:rsid w:val="00EF2334"/>
    <w:rsid w:val="00EF3EA8"/>
    <w:rsid w:val="00EF789D"/>
    <w:rsid w:val="00EF797A"/>
    <w:rsid w:val="00F02B44"/>
    <w:rsid w:val="00F064F1"/>
    <w:rsid w:val="00F068CA"/>
    <w:rsid w:val="00F06FEA"/>
    <w:rsid w:val="00F10197"/>
    <w:rsid w:val="00F129E7"/>
    <w:rsid w:val="00F15630"/>
    <w:rsid w:val="00F160AB"/>
    <w:rsid w:val="00F165CF"/>
    <w:rsid w:val="00F20F03"/>
    <w:rsid w:val="00F21F8E"/>
    <w:rsid w:val="00F3061D"/>
    <w:rsid w:val="00F31EFB"/>
    <w:rsid w:val="00F3361A"/>
    <w:rsid w:val="00F33AC4"/>
    <w:rsid w:val="00F374F3"/>
    <w:rsid w:val="00F40481"/>
    <w:rsid w:val="00F4090C"/>
    <w:rsid w:val="00F41381"/>
    <w:rsid w:val="00F415E9"/>
    <w:rsid w:val="00F45198"/>
    <w:rsid w:val="00F45DC9"/>
    <w:rsid w:val="00F47053"/>
    <w:rsid w:val="00F4770B"/>
    <w:rsid w:val="00F50FF8"/>
    <w:rsid w:val="00F53C91"/>
    <w:rsid w:val="00F573D5"/>
    <w:rsid w:val="00F60838"/>
    <w:rsid w:val="00F6091B"/>
    <w:rsid w:val="00F613BF"/>
    <w:rsid w:val="00F61537"/>
    <w:rsid w:val="00F615EB"/>
    <w:rsid w:val="00F6600D"/>
    <w:rsid w:val="00F666CD"/>
    <w:rsid w:val="00F70B83"/>
    <w:rsid w:val="00F73599"/>
    <w:rsid w:val="00F76F16"/>
    <w:rsid w:val="00F82D62"/>
    <w:rsid w:val="00F917FA"/>
    <w:rsid w:val="00F92B60"/>
    <w:rsid w:val="00F9428C"/>
    <w:rsid w:val="00F97DA2"/>
    <w:rsid w:val="00FA6147"/>
    <w:rsid w:val="00FA7B9F"/>
    <w:rsid w:val="00FB2D24"/>
    <w:rsid w:val="00FB30BF"/>
    <w:rsid w:val="00FB480D"/>
    <w:rsid w:val="00FC07E1"/>
    <w:rsid w:val="00FC31E5"/>
    <w:rsid w:val="00FC4525"/>
    <w:rsid w:val="00FC7BC4"/>
    <w:rsid w:val="00FC7FB6"/>
    <w:rsid w:val="00FD1772"/>
    <w:rsid w:val="00FD6F43"/>
    <w:rsid w:val="00FD70DA"/>
    <w:rsid w:val="00FD7E8B"/>
    <w:rsid w:val="00FE22B7"/>
    <w:rsid w:val="00FE25CB"/>
    <w:rsid w:val="00FE2D4F"/>
    <w:rsid w:val="00FE40F0"/>
    <w:rsid w:val="00FE47AC"/>
    <w:rsid w:val="00FE52DD"/>
    <w:rsid w:val="00FE5AC5"/>
    <w:rsid w:val="00FE7106"/>
    <w:rsid w:val="00FF16B4"/>
    <w:rsid w:val="00FF4DBA"/>
    <w:rsid w:val="00FF4F24"/>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7F24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5"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6"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120" w:line="288" w:lineRule="auto"/>
    </w:pPr>
    <w:rPr>
      <w:sz w:val="22"/>
    </w:rPr>
  </w:style>
  <w:style w:type="paragraph" w:styleId="Rubrik1">
    <w:name w:val="heading 1"/>
    <w:next w:val="Normalmedindrag"/>
    <w:link w:val="Rubrik1Char"/>
    <w:uiPriority w:val="2"/>
    <w:qFormat/>
    <w:pPr>
      <w:keepNext/>
      <w:numPr>
        <w:numId w:val="13"/>
      </w:numPr>
      <w:spacing w:after="120" w:line="288" w:lineRule="auto"/>
      <w:outlineLvl w:val="0"/>
    </w:pPr>
    <w:rPr>
      <w:rFonts w:ascii="Arial" w:hAnsi="Arial" w:cs="Arial"/>
      <w:b/>
      <w:bCs/>
      <w:kern w:val="32"/>
      <w:sz w:val="22"/>
      <w:szCs w:val="32"/>
    </w:rPr>
  </w:style>
  <w:style w:type="paragraph" w:styleId="Rubrik2">
    <w:name w:val="heading 2"/>
    <w:basedOn w:val="Rubrik1"/>
    <w:next w:val="Normalmedindrag"/>
    <w:link w:val="Rubrik2Char"/>
    <w:uiPriority w:val="3"/>
    <w:qFormat/>
    <w:pPr>
      <w:numPr>
        <w:ilvl w:val="1"/>
      </w:numPr>
      <w:outlineLvl w:val="1"/>
    </w:pPr>
    <w:rPr>
      <w:sz w:val="20"/>
    </w:rPr>
  </w:style>
  <w:style w:type="paragraph" w:styleId="Rubrik3">
    <w:name w:val="heading 3"/>
    <w:basedOn w:val="Rubrik2"/>
    <w:next w:val="Normalmedindrag"/>
    <w:link w:val="Rubrik3Char"/>
    <w:uiPriority w:val="4"/>
    <w:qFormat/>
    <w:pPr>
      <w:numPr>
        <w:ilvl w:val="2"/>
      </w:numPr>
      <w:outlineLvl w:val="2"/>
    </w:pPr>
    <w:rPr>
      <w:b w:val="0"/>
      <w:bCs w:val="0"/>
      <w:i/>
      <w:szCs w:val="26"/>
    </w:rPr>
  </w:style>
  <w:style w:type="paragraph" w:styleId="Rubrik4">
    <w:name w:val="heading 4"/>
    <w:basedOn w:val="Rubrik3"/>
    <w:next w:val="Normalmedindrag"/>
    <w:link w:val="Rubrik4Char"/>
    <w:uiPriority w:val="5"/>
    <w:qFormat/>
    <w:pPr>
      <w:numPr>
        <w:ilvl w:val="3"/>
      </w:numPr>
      <w:outlineLvl w:val="3"/>
    </w:pPr>
    <w:rPr>
      <w:bCs/>
      <w:i w:val="0"/>
      <w:szCs w:val="28"/>
    </w:rPr>
  </w:style>
  <w:style w:type="paragraph" w:styleId="Rubrik5">
    <w:name w:val="heading 5"/>
    <w:basedOn w:val="Rubrik4"/>
    <w:next w:val="Normalmedindrag"/>
    <w:link w:val="Rubrik5Char"/>
    <w:uiPriority w:val="5"/>
    <w:qFormat/>
    <w:pPr>
      <w:numPr>
        <w:ilvl w:val="4"/>
      </w:numPr>
      <w:outlineLvl w:val="4"/>
    </w:pPr>
    <w:rPr>
      <w:bCs w:val="0"/>
      <w:iCs/>
      <w:szCs w:val="26"/>
    </w:rPr>
  </w:style>
  <w:style w:type="paragraph" w:styleId="Rubrik6">
    <w:name w:val="heading 6"/>
    <w:basedOn w:val="Rubrik5"/>
    <w:next w:val="Normal"/>
    <w:qFormat/>
    <w:pPr>
      <w:numPr>
        <w:ilvl w:val="5"/>
      </w:numPr>
      <w:outlineLvl w:val="5"/>
    </w:pPr>
    <w:rPr>
      <w:bCs/>
      <w:szCs w:val="22"/>
    </w:rPr>
  </w:style>
  <w:style w:type="paragraph" w:styleId="Rubrik7">
    <w:name w:val="heading 7"/>
    <w:basedOn w:val="Rubrik6"/>
    <w:next w:val="Normal"/>
    <w:qFormat/>
    <w:pPr>
      <w:numPr>
        <w:ilvl w:val="6"/>
      </w:numPr>
      <w:outlineLvl w:val="6"/>
    </w:pPr>
    <w:rPr>
      <w:szCs w:val="24"/>
    </w:rPr>
  </w:style>
  <w:style w:type="paragraph" w:styleId="Rubrik8">
    <w:name w:val="heading 8"/>
    <w:basedOn w:val="Rubrik7"/>
    <w:next w:val="Normal"/>
    <w:qFormat/>
    <w:pPr>
      <w:numPr>
        <w:ilvl w:val="7"/>
      </w:numPr>
      <w:outlineLvl w:val="7"/>
    </w:pPr>
    <w:rPr>
      <w:i/>
      <w:iCs w:val="0"/>
    </w:rPr>
  </w:style>
  <w:style w:type="paragraph" w:styleId="Rubrik9">
    <w:name w:val="heading 9"/>
    <w:basedOn w:val="Rubrik8"/>
    <w:next w:val="Normal"/>
    <w:qFormat/>
    <w:pPr>
      <w:numPr>
        <w:ilvl w:val="8"/>
      </w:numPr>
      <w:outlineLvl w:val="8"/>
    </w:pPr>
    <w:rPr>
      <w:i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pPr>
      <w:numPr>
        <w:numId w:val="1"/>
      </w:numPr>
    </w:pPr>
  </w:style>
  <w:style w:type="numbering" w:styleId="1ai">
    <w:name w:val="Outline List 1"/>
    <w:basedOn w:val="Ingenlista"/>
    <w:semiHidden/>
    <w:pPr>
      <w:numPr>
        <w:numId w:val="2"/>
      </w:numPr>
    </w:pPr>
  </w:style>
  <w:style w:type="paragraph" w:styleId="Anteckningsrubrik">
    <w:name w:val="Note Heading"/>
    <w:basedOn w:val="Normal"/>
    <w:next w:val="Normal"/>
    <w:semiHidden/>
  </w:style>
  <w:style w:type="character" w:styleId="AnvndHyperlnk">
    <w:name w:val="FollowedHyperlink"/>
    <w:basedOn w:val="Standardstycketeckensnitt"/>
    <w:semiHidden/>
    <w:rPr>
      <w:color w:val="800080"/>
      <w:u w:val="single"/>
    </w:rPr>
  </w:style>
  <w:style w:type="numbering" w:styleId="Artikelsektion">
    <w:name w:val="Outline List 3"/>
    <w:basedOn w:val="Ingenlista"/>
    <w:semiHidden/>
    <w:pPr>
      <w:numPr>
        <w:numId w:val="3"/>
      </w:numPr>
    </w:pPr>
  </w:style>
  <w:style w:type="paragraph" w:styleId="Avslutandetext">
    <w:name w:val="Closing"/>
    <w:basedOn w:val="Normal"/>
    <w:semiHidden/>
    <w:pPr>
      <w:ind w:left="4252"/>
    </w:pPr>
  </w:style>
  <w:style w:type="character" w:styleId="Betoning">
    <w:name w:val="Emphasis"/>
    <w:basedOn w:val="Standardstycketeckensnitt"/>
    <w:semiHidden/>
    <w:rPr>
      <w:i/>
      <w:iCs/>
    </w:rPr>
  </w:style>
  <w:style w:type="paragraph" w:styleId="Brdtext">
    <w:name w:val="Body Text"/>
    <w:basedOn w:val="Normal"/>
    <w:semiHidden/>
  </w:style>
  <w:style w:type="paragraph" w:styleId="Brdtext2">
    <w:name w:val="Body Text 2"/>
    <w:basedOn w:val="Normal"/>
    <w:semiHidden/>
    <w:pPr>
      <w:spacing w:line="360" w:lineRule="auto"/>
    </w:pPr>
    <w:rPr>
      <w:sz w:val="14"/>
      <w:lang w:val="en-GB"/>
    </w:rPr>
  </w:style>
  <w:style w:type="paragraph" w:styleId="Brdtext3">
    <w:name w:val="Body Text 3"/>
    <w:basedOn w:val="Normal"/>
    <w:semiHidden/>
    <w:rPr>
      <w:sz w:val="16"/>
      <w:szCs w:val="16"/>
    </w:rPr>
  </w:style>
  <w:style w:type="paragraph" w:styleId="Brdtextmedfrstaindrag">
    <w:name w:val="Body Text First Indent"/>
    <w:basedOn w:val="Brdtext"/>
    <w:semiHidden/>
    <w:pPr>
      <w:ind w:firstLine="210"/>
    </w:pPr>
  </w:style>
  <w:style w:type="paragraph" w:styleId="Brdtextmedindrag">
    <w:name w:val="Body Text Indent"/>
    <w:basedOn w:val="Normal"/>
    <w:semiHidden/>
    <w:pPr>
      <w:ind w:left="283"/>
    </w:pPr>
  </w:style>
  <w:style w:type="paragraph" w:styleId="Brdtextmedfrstaindrag2">
    <w:name w:val="Body Text First Indent 2"/>
    <w:basedOn w:val="Brdtextmedindrag"/>
    <w:semiHidden/>
    <w:pPr>
      <w:ind w:firstLine="210"/>
    </w:pPr>
  </w:style>
  <w:style w:type="paragraph" w:styleId="Brdtextmedindrag2">
    <w:name w:val="Body Text Indent 2"/>
    <w:basedOn w:val="Normal"/>
    <w:semiHidden/>
    <w:pPr>
      <w:spacing w:line="480" w:lineRule="auto"/>
      <w:ind w:left="283"/>
    </w:pPr>
  </w:style>
  <w:style w:type="paragraph" w:styleId="Brdtextmedindrag3">
    <w:name w:val="Body Text Indent 3"/>
    <w:basedOn w:val="Normal"/>
    <w:semiHidden/>
    <w:pPr>
      <w:ind w:left="283"/>
    </w:pPr>
    <w:rPr>
      <w:sz w:val="16"/>
      <w:szCs w:val="16"/>
    </w:rPr>
  </w:style>
  <w:style w:type="table" w:styleId="Diskrettabell1">
    <w:name w:val="Table Subtle 1"/>
    <w:basedOn w:val="Normaltabell"/>
    <w:semiHidden/>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style>
  <w:style w:type="table" w:styleId="Frgadtabell1">
    <w:name w:val="Table Colorful 1"/>
    <w:basedOn w:val="Normaltabell"/>
    <w:semiHidden/>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Pr>
      <w:i/>
      <w:iCs/>
    </w:rPr>
  </w:style>
  <w:style w:type="character" w:styleId="HTML-akronym">
    <w:name w:val="HTML Acronym"/>
    <w:basedOn w:val="Standardstycketeckensnitt"/>
    <w:semiHidden/>
  </w:style>
  <w:style w:type="character" w:styleId="HTML-citat">
    <w:name w:val="HTML Cite"/>
    <w:basedOn w:val="Standardstycketeckensnitt"/>
    <w:semiHidden/>
    <w:rPr>
      <w:i/>
      <w:iCs/>
    </w:rPr>
  </w:style>
  <w:style w:type="character" w:styleId="HTML-definition">
    <w:name w:val="HTML Definition"/>
    <w:basedOn w:val="Standardstycketeckensnitt"/>
    <w:semiHidden/>
    <w:rPr>
      <w:i/>
      <w:iCs/>
    </w:rPr>
  </w:style>
  <w:style w:type="character" w:styleId="HTML-exempel">
    <w:name w:val="HTML Sample"/>
    <w:basedOn w:val="Standardstycketeckensnitt"/>
    <w:semiHidden/>
    <w:rPr>
      <w:rFonts w:ascii="Courier New" w:hAnsi="Courier New" w:cs="Courier New"/>
    </w:rPr>
  </w:style>
  <w:style w:type="paragraph" w:styleId="HTML-frformaterad">
    <w:name w:val="HTML Preformatted"/>
    <w:basedOn w:val="Normal"/>
    <w:semiHidden/>
    <w:rPr>
      <w:rFonts w:ascii="Courier New" w:hAnsi="Courier New" w:cs="Courier New"/>
      <w:sz w:val="20"/>
    </w:rPr>
  </w:style>
  <w:style w:type="character" w:styleId="HTML-kod">
    <w:name w:val="HTML Code"/>
    <w:basedOn w:val="Standardstycketeckensnitt"/>
    <w:semiHidden/>
    <w:rPr>
      <w:rFonts w:ascii="Courier New" w:hAnsi="Courier New" w:cs="Courier New"/>
      <w:sz w:val="20"/>
      <w:szCs w:val="20"/>
    </w:rPr>
  </w:style>
  <w:style w:type="character" w:styleId="HTML-skrivmaskin">
    <w:name w:val="HTML Typewriter"/>
    <w:basedOn w:val="Standardstycketeckensnitt"/>
    <w:semiHidden/>
    <w:rPr>
      <w:rFonts w:ascii="Courier New" w:hAnsi="Courier New" w:cs="Courier New"/>
      <w:sz w:val="20"/>
      <w:szCs w:val="20"/>
    </w:rPr>
  </w:style>
  <w:style w:type="character" w:styleId="HTML-tangentbord">
    <w:name w:val="HTML Keyboard"/>
    <w:basedOn w:val="Standardstycketeckensnitt"/>
    <w:semiHidden/>
    <w:rPr>
      <w:rFonts w:ascii="Courier New" w:hAnsi="Courier New" w:cs="Courier New"/>
      <w:sz w:val="20"/>
      <w:szCs w:val="20"/>
    </w:rPr>
  </w:style>
  <w:style w:type="character" w:styleId="HTML-variabel">
    <w:name w:val="HTML Variable"/>
    <w:basedOn w:val="Standardstycketeckensnitt"/>
    <w:semiHidden/>
    <w:rPr>
      <w:i/>
      <w:iCs/>
    </w:rPr>
  </w:style>
  <w:style w:type="character" w:styleId="Hyperlnk">
    <w:name w:val="Hyperlink"/>
    <w:basedOn w:val="Standardstycketeckensnitt"/>
    <w:uiPriority w:val="99"/>
    <w:unhideWhenUsed/>
    <w:rPr>
      <w:color w:val="0000FF"/>
      <w:u w:val="single"/>
    </w:rPr>
  </w:style>
  <w:style w:type="paragraph" w:styleId="Indragetstycke">
    <w:name w:val="Block Text"/>
    <w:basedOn w:val="Normal"/>
    <w:semiHidden/>
    <w:pPr>
      <w:ind w:left="1440" w:right="1440"/>
    </w:pPr>
  </w:style>
  <w:style w:type="paragraph" w:styleId="Inledning">
    <w:name w:val="Salutation"/>
    <w:basedOn w:val="Normal"/>
    <w:next w:val="Normal"/>
    <w:semiHidden/>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fortstt">
    <w:name w:val="List Continue"/>
    <w:basedOn w:val="Normal"/>
    <w:semiHidden/>
    <w:pPr>
      <w:ind w:left="283"/>
    </w:pPr>
  </w:style>
  <w:style w:type="paragraph" w:styleId="Listafortstt2">
    <w:name w:val="List Continue 2"/>
    <w:basedOn w:val="Normal"/>
    <w:semiHidden/>
    <w:pPr>
      <w:ind w:left="566"/>
    </w:pPr>
  </w:style>
  <w:style w:type="paragraph" w:styleId="Listafortstt3">
    <w:name w:val="List Continue 3"/>
    <w:basedOn w:val="Normal"/>
    <w:semiHidden/>
    <w:pPr>
      <w:ind w:left="849"/>
    </w:pPr>
  </w:style>
  <w:style w:type="paragraph" w:styleId="Listafortstt4">
    <w:name w:val="List Continue 4"/>
    <w:basedOn w:val="Normal"/>
    <w:semiHidden/>
    <w:pPr>
      <w:ind w:left="1132"/>
    </w:pPr>
  </w:style>
  <w:style w:type="paragraph" w:styleId="Listafortstt5">
    <w:name w:val="List Continue 5"/>
    <w:basedOn w:val="Normal"/>
    <w:semiHidden/>
    <w:pPr>
      <w:ind w:left="1415"/>
    </w:pPr>
  </w:style>
  <w:style w:type="paragraph" w:styleId="Meddelanderubrik">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Moderntabell">
    <w:name w:val="Table Contemporary"/>
    <w:basedOn w:val="Normaltabell"/>
    <w:semiHidden/>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style>
  <w:style w:type="paragraph" w:styleId="Normaltindrag">
    <w:name w:val="Normal Indent"/>
    <w:basedOn w:val="Normal"/>
    <w:semiHidden/>
    <w:pPr>
      <w:ind w:left="1304"/>
    </w:pPr>
  </w:style>
  <w:style w:type="paragraph" w:styleId="Numreradlista2">
    <w:name w:val="List Number 2"/>
    <w:basedOn w:val="Normal"/>
    <w:semiHidden/>
    <w:pPr>
      <w:numPr>
        <w:numId w:val="4"/>
      </w:numPr>
    </w:pPr>
  </w:style>
  <w:style w:type="paragraph" w:styleId="Numreradlista3">
    <w:name w:val="List Number 3"/>
    <w:basedOn w:val="Normal"/>
    <w:semiHidden/>
    <w:pPr>
      <w:numPr>
        <w:numId w:val="5"/>
      </w:numPr>
    </w:pPr>
  </w:style>
  <w:style w:type="paragraph" w:styleId="Numreradlista4">
    <w:name w:val="List Number 4"/>
    <w:basedOn w:val="Normal"/>
    <w:semiHidden/>
    <w:pPr>
      <w:numPr>
        <w:numId w:val="6"/>
      </w:numPr>
    </w:pPr>
  </w:style>
  <w:style w:type="paragraph" w:styleId="Numreradlista5">
    <w:name w:val="List Number 5"/>
    <w:basedOn w:val="Normal"/>
    <w:semiHidden/>
    <w:pPr>
      <w:numPr>
        <w:numId w:val="7"/>
      </w:numPr>
    </w:pPr>
  </w:style>
  <w:style w:type="paragraph" w:styleId="Oformateradtext">
    <w:name w:val="Plain Text"/>
    <w:basedOn w:val="Normal"/>
    <w:semiHidden/>
    <w:rPr>
      <w:rFonts w:ascii="Courier New" w:hAnsi="Courier New" w:cs="Courier New"/>
      <w:sz w:val="20"/>
    </w:rPr>
  </w:style>
  <w:style w:type="table" w:styleId="Professionelltabell">
    <w:name w:val="Table Professional"/>
    <w:basedOn w:val="Normaltabell"/>
    <w:semiHidden/>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pPr>
      <w:numPr>
        <w:numId w:val="8"/>
      </w:numPr>
    </w:pPr>
  </w:style>
  <w:style w:type="paragraph" w:styleId="Punktlista3">
    <w:name w:val="List Bullet 3"/>
    <w:basedOn w:val="Normal"/>
    <w:semiHidden/>
    <w:pPr>
      <w:numPr>
        <w:numId w:val="9"/>
      </w:numPr>
    </w:pPr>
  </w:style>
  <w:style w:type="paragraph" w:styleId="Punktlista4">
    <w:name w:val="List Bullet 4"/>
    <w:basedOn w:val="Normal"/>
    <w:semiHidden/>
    <w:pPr>
      <w:numPr>
        <w:numId w:val="10"/>
      </w:numPr>
    </w:pPr>
  </w:style>
  <w:style w:type="paragraph" w:styleId="Punktlista5">
    <w:name w:val="List Bullet 5"/>
    <w:basedOn w:val="Normal"/>
    <w:semiHidden/>
    <w:pPr>
      <w:numPr>
        <w:numId w:val="11"/>
      </w:numPr>
    </w:pPr>
  </w:style>
  <w:style w:type="character" w:styleId="Radnummer">
    <w:name w:val="line number"/>
    <w:basedOn w:val="Standardstycketeckensnitt"/>
    <w:semiHidden/>
  </w:style>
  <w:style w:type="table" w:styleId="Standardtabell1">
    <w:name w:val="Table Classic 1"/>
    <w:basedOn w:val="Normaltabell"/>
    <w:semiHidden/>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rPr>
      <w:b/>
      <w:bCs/>
    </w:rPr>
  </w:style>
  <w:style w:type="table" w:styleId="Tabellmed3D-effekter1">
    <w:name w:val="Table 3D effects 1"/>
    <w:basedOn w:val="Normaltabell"/>
    <w:semiHidden/>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semiHidden/>
    <w:pPr>
      <w:spacing w:after="60"/>
      <w:jc w:val="center"/>
      <w:outlineLvl w:val="1"/>
    </w:pPr>
    <w:rPr>
      <w:rFonts w:cs="Arial"/>
    </w:rPr>
  </w:style>
  <w:style w:type="table" w:styleId="Webbtabell1">
    <w:name w:val="Table Web 1"/>
    <w:basedOn w:val="Normaltabell"/>
    <w:semiHidden/>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6"/>
    <w:pPr>
      <w:keepNext/>
      <w:outlineLvl w:val="5"/>
    </w:pPr>
    <w:rPr>
      <w:rFonts w:ascii="Arial" w:hAnsi="Arial" w:cs="Arial"/>
      <w:b/>
      <w:bCs/>
      <w:kern w:val="28"/>
      <w:sz w:val="32"/>
      <w:szCs w:val="32"/>
    </w:rPr>
  </w:style>
  <w:style w:type="paragraph" w:customStyle="1" w:styleId="DokumentNr">
    <w:name w:val="DokumentNr"/>
    <w:uiPriority w:val="23"/>
    <w:pPr>
      <w:spacing w:after="120"/>
      <w:ind w:right="-1389"/>
      <w:jc w:val="right"/>
    </w:pPr>
    <w:rPr>
      <w:sz w:val="14"/>
      <w:szCs w:val="24"/>
    </w:rPr>
  </w:style>
  <w:style w:type="character" w:styleId="Sidnummer">
    <w:name w:val="page number"/>
    <w:basedOn w:val="Standardstycketeckensnitt"/>
    <w:uiPriority w:val="99"/>
    <w:rPr>
      <w:rFonts w:asciiTheme="minorHAnsi" w:hAnsiTheme="minorHAnsi"/>
      <w:sz w:val="22"/>
    </w:rPr>
  </w:style>
  <w:style w:type="paragraph" w:styleId="Sidhuvud">
    <w:name w:val="header"/>
    <w:basedOn w:val="Normal"/>
    <w:link w:val="SidhuvudChar"/>
    <w:pPr>
      <w:tabs>
        <w:tab w:val="center" w:pos="4536"/>
        <w:tab w:val="right" w:pos="9072"/>
      </w:tabs>
      <w:ind w:left="-1134"/>
    </w:pPr>
  </w:style>
  <w:style w:type="paragraph" w:styleId="Sidfot">
    <w:name w:val="footer"/>
    <w:basedOn w:val="Normal"/>
    <w:semiHidden/>
    <w:pPr>
      <w:tabs>
        <w:tab w:val="center" w:pos="4536"/>
        <w:tab w:val="right" w:pos="9072"/>
      </w:tabs>
    </w:pPr>
    <w:rPr>
      <w:sz w:val="16"/>
    </w:rPr>
  </w:style>
  <w:style w:type="paragraph" w:styleId="Punktlista">
    <w:name w:val="List Bullet"/>
    <w:basedOn w:val="Normal"/>
    <w:semiHidden/>
    <w:pPr>
      <w:numPr>
        <w:numId w:val="12"/>
      </w:numPr>
    </w:pPr>
  </w:style>
  <w:style w:type="paragraph" w:styleId="Avsndaradress-brev">
    <w:name w:val="envelope return"/>
    <w:basedOn w:val="Normal"/>
    <w:semiHidden/>
    <w:pPr>
      <w:spacing w:after="0"/>
    </w:pPr>
    <w:rPr>
      <w:rFonts w:cs="Arial"/>
      <w:sz w:val="18"/>
    </w:rPr>
  </w:style>
  <w:style w:type="paragraph" w:customStyle="1" w:styleId="AvsndaradressRubrik">
    <w:name w:val="AvsändaradressRubrik"/>
    <w:basedOn w:val="Normal"/>
    <w:semiHidden/>
    <w:pPr>
      <w:spacing w:after="0"/>
    </w:pPr>
    <w:rPr>
      <w:rFonts w:ascii="Arial Black" w:hAnsi="Arial Black"/>
      <w:caps/>
      <w:sz w:val="12"/>
      <w:szCs w:val="12"/>
    </w:rPr>
  </w:style>
  <w:style w:type="paragraph" w:customStyle="1" w:styleId="disclaimer">
    <w:name w:val="disclaimer"/>
    <w:basedOn w:val="Normal"/>
    <w:semiHidden/>
    <w:pPr>
      <w:spacing w:line="210" w:lineRule="atLeast"/>
    </w:pPr>
    <w:rPr>
      <w:sz w:val="14"/>
    </w:rPr>
  </w:style>
  <w:style w:type="paragraph" w:customStyle="1" w:styleId="Normalmedindrag">
    <w:name w:val="Normal med indrag"/>
    <w:basedOn w:val="Normal"/>
    <w:qFormat/>
    <w:pPr>
      <w:ind w:left="851"/>
    </w:pPr>
  </w:style>
  <w:style w:type="paragraph" w:customStyle="1" w:styleId="Rubrik1onumrerad">
    <w:name w:val="Rubrik 1 onumrerad"/>
    <w:basedOn w:val="Normal"/>
    <w:next w:val="Normal"/>
    <w:semiHidden/>
    <w:pPr>
      <w:keepNext/>
    </w:pPr>
    <w:rPr>
      <w:b/>
    </w:rPr>
  </w:style>
  <w:style w:type="paragraph" w:customStyle="1" w:styleId="Rubrik2onumrerad">
    <w:name w:val="Rubrik 2 onumrerad"/>
    <w:basedOn w:val="Normal"/>
    <w:next w:val="Normal"/>
    <w:semiHidden/>
    <w:pPr>
      <w:keepNext/>
    </w:pPr>
    <w:rPr>
      <w:b/>
      <w:i/>
    </w:rPr>
  </w:style>
  <w:style w:type="paragraph" w:customStyle="1" w:styleId="Rubrik3onumrerad">
    <w:name w:val="Rubrik 3 onumrerad"/>
    <w:basedOn w:val="Normal"/>
    <w:next w:val="Normal"/>
    <w:semiHidden/>
    <w:pPr>
      <w:keepNext/>
    </w:pPr>
  </w:style>
  <w:style w:type="paragraph" w:styleId="Fotnotstext">
    <w:name w:val="footnote text"/>
    <w:basedOn w:val="Normal"/>
    <w:link w:val="FotnotstextChar"/>
    <w:uiPriority w:val="99"/>
    <w:unhideWhenUsed/>
    <w:pPr>
      <w:spacing w:after="0" w:line="240" w:lineRule="auto"/>
    </w:pPr>
    <w:rPr>
      <w:sz w:val="18"/>
    </w:rPr>
  </w:style>
  <w:style w:type="paragraph" w:customStyle="1" w:styleId="Frsttsbladstext">
    <w:name w:val="Försättsbladstext"/>
    <w:basedOn w:val="Normal"/>
    <w:uiPriority w:val="17"/>
    <w:unhideWhenUsed/>
    <w:qFormat/>
    <w:rPr>
      <w:rFonts w:ascii="Arial" w:hAnsi="Arial"/>
      <w:b/>
      <w:caps/>
      <w:sz w:val="26"/>
    </w:rPr>
  </w:style>
  <w:style w:type="paragraph" w:styleId="Innehll1">
    <w:name w:val="toc 1"/>
    <w:basedOn w:val="Normal"/>
    <w:next w:val="Normal"/>
    <w:uiPriority w:val="39"/>
    <w:semiHidden/>
    <w:unhideWhenUsed/>
    <w:pPr>
      <w:tabs>
        <w:tab w:val="right" w:leader="dot" w:pos="7371"/>
      </w:tabs>
      <w:spacing w:after="0"/>
      <w:ind w:left="851" w:hanging="851"/>
    </w:pPr>
  </w:style>
  <w:style w:type="paragraph" w:styleId="Innehll2">
    <w:name w:val="toc 2"/>
    <w:basedOn w:val="Normal"/>
    <w:next w:val="Normal"/>
    <w:uiPriority w:val="39"/>
    <w:semiHidden/>
    <w:unhideWhenUsed/>
    <w:pPr>
      <w:tabs>
        <w:tab w:val="right" w:leader="dot" w:pos="7371"/>
        <w:tab w:val="right" w:leader="dot" w:pos="8222"/>
      </w:tabs>
      <w:spacing w:after="0"/>
      <w:ind w:left="851" w:hanging="851"/>
    </w:pPr>
  </w:style>
  <w:style w:type="paragraph" w:styleId="Innehll3">
    <w:name w:val="toc 3"/>
    <w:basedOn w:val="Normal"/>
    <w:next w:val="Normal"/>
    <w:autoRedefine/>
    <w:uiPriority w:val="39"/>
    <w:semiHidden/>
    <w:unhideWhenUsed/>
    <w:pPr>
      <w:tabs>
        <w:tab w:val="right" w:leader="dot" w:pos="7371"/>
      </w:tabs>
      <w:spacing w:after="0"/>
      <w:ind w:left="851" w:hanging="851"/>
    </w:pPr>
  </w:style>
  <w:style w:type="paragraph" w:styleId="Innehll4">
    <w:name w:val="toc 4"/>
    <w:basedOn w:val="Normal"/>
    <w:next w:val="Normal"/>
    <w:autoRedefine/>
    <w:uiPriority w:val="39"/>
    <w:semiHidden/>
    <w:pPr>
      <w:tabs>
        <w:tab w:val="right" w:leader="dot" w:pos="7371"/>
      </w:tabs>
      <w:spacing w:after="0"/>
      <w:ind w:left="851" w:hanging="851"/>
    </w:pPr>
  </w:style>
  <w:style w:type="paragraph" w:styleId="Innehll5">
    <w:name w:val="toc 5"/>
    <w:basedOn w:val="Normal"/>
    <w:next w:val="Normal"/>
    <w:autoRedefine/>
    <w:uiPriority w:val="39"/>
    <w:semiHidden/>
    <w:pPr>
      <w:tabs>
        <w:tab w:val="right" w:leader="dot" w:pos="8222"/>
      </w:tabs>
      <w:spacing w:after="0"/>
      <w:ind w:left="1304" w:hanging="1304"/>
    </w:pPr>
  </w:style>
  <w:style w:type="paragraph" w:styleId="Innehll6">
    <w:name w:val="toc 6"/>
    <w:basedOn w:val="Normal"/>
    <w:next w:val="Normal"/>
    <w:autoRedefine/>
    <w:uiPriority w:val="39"/>
    <w:semiHidden/>
    <w:pPr>
      <w:tabs>
        <w:tab w:val="right" w:leader="dot" w:pos="8222"/>
      </w:tabs>
      <w:spacing w:after="0"/>
    </w:pPr>
  </w:style>
  <w:style w:type="paragraph" w:customStyle="1" w:styleId="Onumreradrubrik1">
    <w:name w:val="Onumrerad rubrik 1"/>
    <w:next w:val="Normal"/>
    <w:uiPriority w:val="13"/>
    <w:qFormat/>
    <w:pPr>
      <w:keepNext/>
      <w:spacing w:after="120" w:line="288" w:lineRule="auto"/>
      <w:outlineLvl w:val="5"/>
    </w:pPr>
    <w:rPr>
      <w:rFonts w:ascii="Arial" w:hAnsi="Arial" w:cs="Arial"/>
      <w:b/>
      <w:bCs/>
      <w:kern w:val="32"/>
      <w:sz w:val="22"/>
      <w:szCs w:val="32"/>
    </w:rPr>
  </w:style>
  <w:style w:type="paragraph" w:customStyle="1" w:styleId="Onumreradrubrik4">
    <w:name w:val="Onumrerad rubrik 4"/>
    <w:next w:val="Normal"/>
    <w:uiPriority w:val="15"/>
    <w:semiHidden/>
    <w:qFormat/>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
    <w:uiPriority w:val="13"/>
    <w:qFormat/>
    <w:rPr>
      <w:b/>
    </w:rPr>
  </w:style>
  <w:style w:type="paragraph" w:customStyle="1" w:styleId="Onumreradrubrik3">
    <w:name w:val="Onumrerad rubrik 3"/>
    <w:basedOn w:val="Onumreradrubrik4"/>
    <w:next w:val="Normal"/>
    <w:uiPriority w:val="13"/>
    <w:qFormat/>
    <w:rPr>
      <w:i/>
    </w:rPr>
  </w:style>
  <w:style w:type="paragraph" w:customStyle="1" w:styleId="Docid">
    <w:name w:val="Docid"/>
    <w:basedOn w:val="Normal"/>
    <w:uiPriority w:val="22"/>
    <w:semiHidden/>
    <w:unhideWhenUsed/>
    <w:pPr>
      <w:spacing w:line="240" w:lineRule="auto"/>
      <w:ind w:left="7070"/>
    </w:pPr>
    <w:rPr>
      <w:rFonts w:cs="Arial"/>
      <w:iCs/>
      <w:sz w:val="14"/>
    </w:rPr>
  </w:style>
  <w:style w:type="paragraph" w:customStyle="1" w:styleId="Stycke1">
    <w:name w:val="Stycke 1"/>
    <w:basedOn w:val="Rubrik1"/>
    <w:uiPriority w:val="7"/>
    <w:qFormat/>
    <w:pPr>
      <w:keepNext w:val="0"/>
    </w:pPr>
    <w:rPr>
      <w:rFonts w:asciiTheme="minorHAnsi" w:hAnsiTheme="minorHAnsi"/>
      <w:b w:val="0"/>
    </w:rPr>
  </w:style>
  <w:style w:type="paragraph" w:customStyle="1" w:styleId="Stycke2">
    <w:name w:val="Stycke 2"/>
    <w:basedOn w:val="Rubrik2"/>
    <w:uiPriority w:val="7"/>
    <w:qFormat/>
    <w:pPr>
      <w:keepNext w:val="0"/>
    </w:pPr>
    <w:rPr>
      <w:rFonts w:asciiTheme="minorHAnsi" w:hAnsiTheme="minorHAnsi"/>
      <w:b w:val="0"/>
      <w:sz w:val="22"/>
    </w:rPr>
  </w:style>
  <w:style w:type="paragraph" w:customStyle="1" w:styleId="Stycke3">
    <w:name w:val="Stycke 3"/>
    <w:basedOn w:val="Rubrik3"/>
    <w:uiPriority w:val="7"/>
    <w:qFormat/>
    <w:pPr>
      <w:keepNext w:val="0"/>
    </w:pPr>
    <w:rPr>
      <w:rFonts w:asciiTheme="minorHAnsi" w:hAnsiTheme="minorHAnsi"/>
      <w:i w:val="0"/>
      <w:sz w:val="22"/>
    </w:rPr>
  </w:style>
  <w:style w:type="paragraph" w:customStyle="1" w:styleId="Stycke4">
    <w:name w:val="Stycke 4"/>
    <w:basedOn w:val="Rubrik4"/>
    <w:uiPriority w:val="7"/>
    <w:semiHidden/>
    <w:qFormat/>
    <w:pPr>
      <w:keepNext w:val="0"/>
    </w:pPr>
    <w:rPr>
      <w:rFonts w:asciiTheme="minorHAnsi" w:hAnsiTheme="minorHAnsi"/>
      <w:sz w:val="22"/>
    </w:rPr>
  </w:style>
  <w:style w:type="paragraph" w:customStyle="1" w:styleId="Stycke5">
    <w:name w:val="Stycke 5"/>
    <w:basedOn w:val="Rubrik5"/>
    <w:uiPriority w:val="7"/>
    <w:semiHidden/>
    <w:qFormat/>
    <w:pPr>
      <w:keepNext w:val="0"/>
    </w:pPr>
    <w:rPr>
      <w:rFonts w:asciiTheme="minorHAnsi" w:hAnsiTheme="minorHAnsi"/>
      <w:sz w:val="22"/>
    </w:rPr>
  </w:style>
  <w:style w:type="numbering" w:customStyle="1" w:styleId="GDAPunktlistor">
    <w:name w:val="GDA Punktlistor"/>
    <w:uiPriority w:val="99"/>
    <w:pPr>
      <w:numPr>
        <w:numId w:val="14"/>
      </w:numPr>
    </w:pPr>
  </w:style>
  <w:style w:type="paragraph" w:customStyle="1" w:styleId="Lista-">
    <w:name w:val="Lista (-)"/>
    <w:basedOn w:val="Normal"/>
    <w:semiHidden/>
  </w:style>
  <w:style w:type="paragraph" w:customStyle="1" w:styleId="Listaa1">
    <w:name w:val="Lista (a)"/>
    <w:basedOn w:val="Normal"/>
    <w:uiPriority w:val="9"/>
    <w:qFormat/>
    <w:pPr>
      <w:numPr>
        <w:numId w:val="18"/>
      </w:numPr>
    </w:pPr>
  </w:style>
  <w:style w:type="paragraph" w:styleId="Adress-brev">
    <w:name w:val="envelope address"/>
    <w:basedOn w:val="Normal"/>
    <w:semiHidden/>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ngtext">
    <w:name w:val="Balloon Text"/>
    <w:basedOn w:val="Normal"/>
    <w:link w:val="BallongtextChar"/>
    <w:semiHidden/>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Pr>
      <w:rFonts w:ascii="Tahoma" w:hAnsi="Tahoma" w:cs="Tahoma"/>
      <w:sz w:val="16"/>
      <w:szCs w:val="16"/>
    </w:rPr>
  </w:style>
  <w:style w:type="paragraph" w:styleId="Beskrivning">
    <w:name w:val="caption"/>
    <w:basedOn w:val="Normal"/>
    <w:next w:val="Normal"/>
    <w:semiHidden/>
    <w:pPr>
      <w:spacing w:line="240" w:lineRule="auto"/>
    </w:pPr>
    <w:rPr>
      <w:b/>
      <w:bCs/>
      <w:color w:val="015291" w:themeColor="accent1"/>
      <w:sz w:val="18"/>
      <w:szCs w:val="18"/>
    </w:rPr>
  </w:style>
  <w:style w:type="character" w:styleId="Bokenstitel">
    <w:name w:val="Book Title"/>
    <w:basedOn w:val="Standardstycketeckensnitt"/>
    <w:uiPriority w:val="33"/>
    <w:semiHidden/>
    <w:rPr>
      <w:b/>
      <w:bCs/>
      <w:smallCaps/>
      <w:spacing w:val="5"/>
    </w:rPr>
  </w:style>
  <w:style w:type="paragraph" w:styleId="Citat">
    <w:name w:val="Quote"/>
    <w:basedOn w:val="Normal"/>
    <w:next w:val="Normal"/>
    <w:link w:val="CitatChar"/>
    <w:uiPriority w:val="29"/>
    <w:semiHidden/>
    <w:rPr>
      <w:i/>
      <w:iCs/>
      <w:color w:val="666666" w:themeColor="text1"/>
    </w:rPr>
  </w:style>
  <w:style w:type="character" w:customStyle="1" w:styleId="CitatChar">
    <w:name w:val="Citat Char"/>
    <w:basedOn w:val="Standardstycketeckensnitt"/>
    <w:link w:val="Citat"/>
    <w:uiPriority w:val="29"/>
    <w:rPr>
      <w:i/>
      <w:iCs/>
      <w:color w:val="666666" w:themeColor="text1"/>
      <w:sz w:val="24"/>
    </w:rPr>
  </w:style>
  <w:style w:type="paragraph" w:styleId="Citatfrteckning">
    <w:name w:val="table of authorities"/>
    <w:basedOn w:val="Normal"/>
    <w:next w:val="Normal"/>
    <w:semiHidden/>
    <w:pPr>
      <w:spacing w:after="0"/>
      <w:ind w:left="240" w:hanging="240"/>
    </w:pPr>
  </w:style>
  <w:style w:type="paragraph" w:styleId="Citatfrteckningsrubrik">
    <w:name w:val="toa heading"/>
    <w:basedOn w:val="Normal"/>
    <w:next w:val="Normal"/>
    <w:semiHidden/>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style>
  <w:style w:type="character" w:customStyle="1" w:styleId="DatumChar">
    <w:name w:val="Datum Char"/>
    <w:basedOn w:val="Standardstycketeckensnitt"/>
    <w:link w:val="Datum"/>
    <w:rPr>
      <w:sz w:val="24"/>
    </w:rPr>
  </w:style>
  <w:style w:type="character" w:styleId="Diskretbetoning">
    <w:name w:val="Subtle Emphasis"/>
    <w:basedOn w:val="Standardstycketeckensnitt"/>
    <w:uiPriority w:val="19"/>
    <w:semiHidden/>
    <w:rPr>
      <w:i/>
      <w:iCs/>
      <w:color w:val="B2B2B2" w:themeColor="text1" w:themeTint="7F"/>
    </w:rPr>
  </w:style>
  <w:style w:type="character" w:styleId="Diskretreferens">
    <w:name w:val="Subtle Reference"/>
    <w:basedOn w:val="Standardstycketeckensnitt"/>
    <w:uiPriority w:val="31"/>
    <w:semiHidden/>
    <w:rPr>
      <w:smallCaps/>
      <w:color w:val="000000" w:themeColor="accent2"/>
      <w:u w:val="single"/>
    </w:rPr>
  </w:style>
  <w:style w:type="paragraph" w:styleId="Dokumentversikt">
    <w:name w:val="Document Map"/>
    <w:basedOn w:val="Normal"/>
    <w:link w:val="DokumentversiktChar"/>
    <w:semiHidden/>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rPr>
      <w:rFonts w:ascii="Tahoma" w:hAnsi="Tahoma" w:cs="Tahoma"/>
      <w:sz w:val="16"/>
      <w:szCs w:val="16"/>
    </w:rPr>
  </w:style>
  <w:style w:type="paragraph" w:styleId="Figurfrteckning">
    <w:name w:val="table of figures"/>
    <w:basedOn w:val="Normal"/>
    <w:next w:val="Normal"/>
    <w:semiHidden/>
    <w:pPr>
      <w:spacing w:after="0"/>
    </w:pPr>
  </w:style>
  <w:style w:type="character" w:styleId="Fotnotsreferens">
    <w:name w:val="footnote reference"/>
    <w:basedOn w:val="Standardstycketeckensnitt"/>
    <w:uiPriority w:val="99"/>
    <w:semiHidden/>
    <w:rPr>
      <w:vertAlign w:val="superscript"/>
    </w:rPr>
  </w:style>
  <w:style w:type="paragraph" w:styleId="Index1">
    <w:name w:val="index 1"/>
    <w:basedOn w:val="Normal"/>
    <w:next w:val="Normal"/>
    <w:autoRedefine/>
    <w:semiHidden/>
    <w:pPr>
      <w:spacing w:after="0" w:line="240" w:lineRule="auto"/>
      <w:ind w:left="240" w:hanging="240"/>
    </w:pPr>
  </w:style>
  <w:style w:type="paragraph" w:styleId="Index2">
    <w:name w:val="index 2"/>
    <w:basedOn w:val="Normal"/>
    <w:next w:val="Normal"/>
    <w:autoRedefine/>
    <w:semiHidden/>
    <w:pPr>
      <w:spacing w:after="0" w:line="240" w:lineRule="auto"/>
      <w:ind w:left="480" w:hanging="240"/>
    </w:pPr>
  </w:style>
  <w:style w:type="paragraph" w:styleId="Index3">
    <w:name w:val="index 3"/>
    <w:basedOn w:val="Normal"/>
    <w:next w:val="Normal"/>
    <w:autoRedefine/>
    <w:semiHidden/>
    <w:pPr>
      <w:spacing w:after="0" w:line="240" w:lineRule="auto"/>
      <w:ind w:left="720" w:hanging="240"/>
    </w:pPr>
  </w:style>
  <w:style w:type="paragraph" w:styleId="Index4">
    <w:name w:val="index 4"/>
    <w:basedOn w:val="Normal"/>
    <w:next w:val="Normal"/>
    <w:autoRedefine/>
    <w:semiHidden/>
    <w:pPr>
      <w:spacing w:after="0" w:line="240" w:lineRule="auto"/>
      <w:ind w:left="960" w:hanging="240"/>
    </w:pPr>
  </w:style>
  <w:style w:type="paragraph" w:styleId="Index5">
    <w:name w:val="index 5"/>
    <w:basedOn w:val="Normal"/>
    <w:next w:val="Normal"/>
    <w:autoRedefine/>
    <w:semiHidden/>
    <w:pPr>
      <w:spacing w:after="0" w:line="240" w:lineRule="auto"/>
      <w:ind w:left="1200" w:hanging="240"/>
    </w:pPr>
  </w:style>
  <w:style w:type="paragraph" w:styleId="Index6">
    <w:name w:val="index 6"/>
    <w:basedOn w:val="Normal"/>
    <w:next w:val="Normal"/>
    <w:autoRedefine/>
    <w:semiHidden/>
    <w:pPr>
      <w:spacing w:after="0" w:line="240" w:lineRule="auto"/>
      <w:ind w:left="1440" w:hanging="240"/>
    </w:pPr>
  </w:style>
  <w:style w:type="paragraph" w:styleId="Index7">
    <w:name w:val="index 7"/>
    <w:basedOn w:val="Normal"/>
    <w:next w:val="Normal"/>
    <w:autoRedefine/>
    <w:semiHidden/>
    <w:pPr>
      <w:spacing w:after="0" w:line="240" w:lineRule="auto"/>
      <w:ind w:left="1680" w:hanging="240"/>
    </w:pPr>
  </w:style>
  <w:style w:type="paragraph" w:styleId="Index8">
    <w:name w:val="index 8"/>
    <w:basedOn w:val="Normal"/>
    <w:next w:val="Normal"/>
    <w:autoRedefine/>
    <w:semiHidden/>
    <w:pPr>
      <w:spacing w:after="0" w:line="240" w:lineRule="auto"/>
      <w:ind w:left="1920" w:hanging="240"/>
    </w:pPr>
  </w:style>
  <w:style w:type="paragraph" w:styleId="Index9">
    <w:name w:val="index 9"/>
    <w:basedOn w:val="Normal"/>
    <w:next w:val="Normal"/>
    <w:autoRedefine/>
    <w:semiHidden/>
    <w:pPr>
      <w:spacing w:after="0" w:line="240" w:lineRule="auto"/>
      <w:ind w:left="2160" w:hanging="240"/>
    </w:pPr>
  </w:style>
  <w:style w:type="paragraph" w:styleId="Indexrubrik">
    <w:name w:val="index heading"/>
    <w:basedOn w:val="Normal"/>
    <w:next w:val="Index1"/>
    <w:semiHidden/>
    <w:rPr>
      <w:rFonts w:asciiTheme="majorHAnsi" w:eastAsiaTheme="majorEastAsia" w:hAnsiTheme="majorHAnsi" w:cstheme="majorBidi"/>
      <w:b/>
      <w:bCs/>
    </w:rPr>
  </w:style>
  <w:style w:type="paragraph" w:styleId="Ingetavstnd">
    <w:name w:val="No Spacing"/>
    <w:uiPriority w:val="1"/>
    <w:semiHidden/>
    <w:rPr>
      <w:sz w:val="24"/>
    </w:rPr>
  </w:style>
  <w:style w:type="paragraph" w:styleId="Innehll7">
    <w:name w:val="toc 7"/>
    <w:basedOn w:val="Normal"/>
    <w:next w:val="Normal"/>
    <w:autoRedefine/>
    <w:semiHidden/>
    <w:pPr>
      <w:spacing w:after="100"/>
      <w:ind w:left="1440"/>
    </w:pPr>
  </w:style>
  <w:style w:type="paragraph" w:styleId="Innehll8">
    <w:name w:val="toc 8"/>
    <w:basedOn w:val="Normal"/>
    <w:next w:val="Normal"/>
    <w:autoRedefine/>
    <w:semiHidden/>
    <w:pPr>
      <w:spacing w:after="100"/>
      <w:ind w:left="1680"/>
    </w:pPr>
  </w:style>
  <w:style w:type="paragraph" w:styleId="Innehll9">
    <w:name w:val="toc 9"/>
    <w:basedOn w:val="Normal"/>
    <w:next w:val="Normal"/>
    <w:autoRedefine/>
    <w:semiHidden/>
    <w:pPr>
      <w:spacing w:after="100"/>
      <w:ind w:left="1920"/>
    </w:pPr>
  </w:style>
  <w:style w:type="paragraph" w:styleId="Innehllsfrteckningsrubrik">
    <w:name w:val="TOC Heading"/>
    <w:basedOn w:val="Rubrik1"/>
    <w:next w:val="Normal"/>
    <w:uiPriority w:val="39"/>
    <w:semiHidden/>
    <w:pPr>
      <w:keepLines/>
      <w:numPr>
        <w:numId w:val="0"/>
      </w:numPr>
      <w:spacing w:before="480" w:after="0"/>
      <w:outlineLvl w:val="9"/>
    </w:pPr>
    <w:rPr>
      <w:rFonts w:asciiTheme="majorHAnsi" w:eastAsiaTheme="majorEastAsia" w:hAnsiTheme="majorHAnsi" w:cstheme="majorBidi"/>
      <w:color w:val="003D6C" w:themeColor="accent1" w:themeShade="BF"/>
      <w:kern w:val="0"/>
      <w:sz w:val="28"/>
      <w:szCs w:val="28"/>
    </w:rPr>
  </w:style>
  <w:style w:type="paragraph" w:styleId="Kommentarer">
    <w:name w:val="annotation text"/>
    <w:basedOn w:val="Normal"/>
    <w:link w:val="KommentarerChar"/>
    <w:semiHidden/>
    <w:pPr>
      <w:spacing w:line="240" w:lineRule="auto"/>
    </w:pPr>
    <w:rPr>
      <w:sz w:val="20"/>
    </w:rPr>
  </w:style>
  <w:style w:type="character" w:customStyle="1" w:styleId="KommentarerChar">
    <w:name w:val="Kommentarer Char"/>
    <w:basedOn w:val="Standardstycketeckensnitt"/>
    <w:link w:val="Kommentarer"/>
  </w:style>
  <w:style w:type="character" w:styleId="Kommentarsreferens">
    <w:name w:val="annotation reference"/>
    <w:basedOn w:val="Standardstycketeckensnitt"/>
    <w:semiHidden/>
    <w:rPr>
      <w:sz w:val="16"/>
      <w:szCs w:val="16"/>
    </w:rPr>
  </w:style>
  <w:style w:type="paragraph" w:styleId="Kommentarsmne">
    <w:name w:val="annotation subject"/>
    <w:basedOn w:val="Kommentarer"/>
    <w:next w:val="Kommentarer"/>
    <w:link w:val="KommentarsmneChar"/>
    <w:semiHidden/>
    <w:rPr>
      <w:b/>
      <w:bCs/>
    </w:rPr>
  </w:style>
  <w:style w:type="character" w:customStyle="1" w:styleId="KommentarsmneChar">
    <w:name w:val="Kommentarsämne Char"/>
    <w:basedOn w:val="KommentarerChar"/>
    <w:link w:val="Kommentarsmne"/>
    <w:rPr>
      <w:b/>
      <w:bCs/>
    </w:rPr>
  </w:style>
  <w:style w:type="paragraph" w:styleId="Lista0">
    <w:name w:val="List"/>
    <w:basedOn w:val="Normal"/>
    <w:semiHidden/>
    <w:pPr>
      <w:ind w:left="283" w:hanging="283"/>
      <w:contextualSpacing/>
    </w:pPr>
  </w:style>
  <w:style w:type="paragraph" w:styleId="Liststycke">
    <w:name w:val="List Paragraph"/>
    <w:basedOn w:val="Normal"/>
    <w:uiPriority w:val="34"/>
    <w:semiHidden/>
    <w:pPr>
      <w:ind w:left="720"/>
      <w:contextualSpacing/>
    </w:pPr>
  </w:style>
  <w:style w:type="paragraph" w:styleId="Litteraturfrteckning">
    <w:name w:val="Bibliography"/>
    <w:basedOn w:val="Normal"/>
    <w:next w:val="Normal"/>
    <w:uiPriority w:val="37"/>
    <w:semiHidden/>
  </w:style>
  <w:style w:type="paragraph" w:styleId="Makrotext">
    <w:name w:val="macro"/>
    <w:link w:val="MakrotextChar"/>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krotextChar">
    <w:name w:val="Makrotext Char"/>
    <w:basedOn w:val="Standardstycketeckensnitt"/>
    <w:link w:val="Makrotext"/>
    <w:rPr>
      <w:rFonts w:ascii="Consolas" w:hAnsi="Consolas"/>
    </w:rPr>
  </w:style>
  <w:style w:type="paragraph" w:styleId="Numreradlista">
    <w:name w:val="List Number"/>
    <w:basedOn w:val="Listanumrerad"/>
    <w:semiHidden/>
  </w:style>
  <w:style w:type="character" w:styleId="Platshllartext">
    <w:name w:val="Placeholder Text"/>
    <w:basedOn w:val="Standardstycketeckensnitt"/>
    <w:uiPriority w:val="99"/>
    <w:semiHidden/>
    <w:rPr>
      <w:color w:val="808080"/>
    </w:rPr>
  </w:style>
  <w:style w:type="paragraph" w:styleId="Signatur">
    <w:name w:val="Signature"/>
    <w:basedOn w:val="Normal"/>
    <w:link w:val="SignaturChar"/>
    <w:semiHidden/>
    <w:pPr>
      <w:spacing w:after="0" w:line="240" w:lineRule="auto"/>
      <w:ind w:left="4252"/>
    </w:pPr>
  </w:style>
  <w:style w:type="character" w:customStyle="1" w:styleId="SignaturChar">
    <w:name w:val="Signatur Char"/>
    <w:basedOn w:val="Standardstycketeckensnitt"/>
    <w:link w:val="Signatur"/>
    <w:rPr>
      <w:sz w:val="24"/>
    </w:rPr>
  </w:style>
  <w:style w:type="paragraph" w:styleId="Slutkommentar">
    <w:name w:val="endnote text"/>
    <w:basedOn w:val="Normal"/>
    <w:link w:val="SlutkommentarChar"/>
    <w:semiHidden/>
    <w:pPr>
      <w:spacing w:after="0" w:line="240" w:lineRule="auto"/>
    </w:pPr>
    <w:rPr>
      <w:sz w:val="20"/>
    </w:rPr>
  </w:style>
  <w:style w:type="character" w:customStyle="1" w:styleId="SlutkommentarChar">
    <w:name w:val="Slutkommentar Char"/>
    <w:basedOn w:val="Standardstycketeckensnitt"/>
    <w:link w:val="Slutkommentar"/>
  </w:style>
  <w:style w:type="character" w:styleId="Slutkommentarsreferens">
    <w:name w:val="endnote reference"/>
    <w:basedOn w:val="Standardstycketeckensnitt"/>
    <w:semiHidden/>
    <w:rPr>
      <w:vertAlign w:val="superscript"/>
    </w:rPr>
  </w:style>
  <w:style w:type="character" w:styleId="Starkbetoning">
    <w:name w:val="Intense Emphasis"/>
    <w:basedOn w:val="Standardstycketeckensnitt"/>
    <w:uiPriority w:val="21"/>
    <w:semiHidden/>
    <w:rPr>
      <w:b/>
      <w:bCs/>
      <w:i/>
      <w:iCs/>
      <w:color w:val="015291" w:themeColor="accent1"/>
    </w:rPr>
  </w:style>
  <w:style w:type="character" w:styleId="Starkreferens">
    <w:name w:val="Intense Reference"/>
    <w:basedOn w:val="Standardstycketeckensnitt"/>
    <w:uiPriority w:val="32"/>
    <w:semiHidden/>
    <w:rPr>
      <w:b/>
      <w:bCs/>
      <w:smallCaps/>
      <w:color w:val="000000" w:themeColor="accent2"/>
      <w:spacing w:val="5"/>
      <w:u w:val="single"/>
    </w:rPr>
  </w:style>
  <w:style w:type="paragraph" w:styleId="Starktcitat">
    <w:name w:val="Intense Quote"/>
    <w:basedOn w:val="Normal"/>
    <w:next w:val="Normal"/>
    <w:link w:val="StarktcitatChar"/>
    <w:uiPriority w:val="30"/>
    <w:semiHidden/>
    <w:pPr>
      <w:pBdr>
        <w:bottom w:val="single" w:sz="4" w:space="4" w:color="015291" w:themeColor="accent1"/>
      </w:pBdr>
      <w:spacing w:before="200" w:after="280"/>
      <w:ind w:left="936" w:right="936"/>
    </w:pPr>
    <w:rPr>
      <w:b/>
      <w:bCs/>
      <w:i/>
      <w:iCs/>
      <w:color w:val="015291" w:themeColor="accent1"/>
    </w:rPr>
  </w:style>
  <w:style w:type="character" w:customStyle="1" w:styleId="StarktcitatChar">
    <w:name w:val="Starkt citat Char"/>
    <w:basedOn w:val="Standardstycketeckensnitt"/>
    <w:link w:val="Starktcitat"/>
    <w:uiPriority w:val="30"/>
    <w:rPr>
      <w:b/>
      <w:bCs/>
      <w:i/>
      <w:iCs/>
      <w:color w:val="015291" w:themeColor="accent1"/>
      <w:sz w:val="24"/>
    </w:rPr>
  </w:style>
  <w:style w:type="paragraph" w:customStyle="1" w:styleId="Listanumrerad">
    <w:name w:val="Lista numrerad"/>
    <w:basedOn w:val="Normal"/>
    <w:uiPriority w:val="13"/>
    <w:qFormat/>
    <w:pPr>
      <w:numPr>
        <w:numId w:val="19"/>
      </w:numPr>
    </w:pPr>
  </w:style>
  <w:style w:type="paragraph" w:customStyle="1" w:styleId="mottagaradress-brev">
    <w:name w:val="mottagaradress -brev"/>
    <w:basedOn w:val="Normal"/>
    <w:uiPriority w:val="24"/>
    <w:semiHidden/>
    <w:unhideWhenUsed/>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style>
  <w:style w:type="paragraph" w:customStyle="1" w:styleId="Listai">
    <w:name w:val="Lista (i)"/>
    <w:basedOn w:val="Normal"/>
    <w:uiPriority w:val="10"/>
    <w:qFormat/>
    <w:pPr>
      <w:numPr>
        <w:ilvl w:val="1"/>
        <w:numId w:val="18"/>
      </w:numPr>
    </w:pPr>
  </w:style>
  <w:style w:type="paragraph" w:customStyle="1" w:styleId="Lista">
    <w:name w:val="Lista ●"/>
    <w:basedOn w:val="Normal"/>
    <w:uiPriority w:val="13"/>
    <w:qFormat/>
    <w:pPr>
      <w:numPr>
        <w:numId w:val="15"/>
      </w:numPr>
      <w:tabs>
        <w:tab w:val="left" w:pos="851"/>
      </w:tabs>
      <w:ind w:left="1531" w:hanging="680"/>
    </w:pPr>
  </w:style>
  <w:style w:type="character" w:customStyle="1" w:styleId="Rubrik1Char">
    <w:name w:val="Rubrik 1 Char"/>
    <w:basedOn w:val="Standardstycketeckensnitt"/>
    <w:link w:val="Rubrik1"/>
    <w:uiPriority w:val="2"/>
    <w:rPr>
      <w:rFonts w:ascii="Arial" w:hAnsi="Arial" w:cs="Arial"/>
      <w:b/>
      <w:bCs/>
      <w:kern w:val="32"/>
      <w:sz w:val="22"/>
      <w:szCs w:val="32"/>
    </w:rPr>
  </w:style>
  <w:style w:type="character" w:customStyle="1" w:styleId="Rubrik2Char">
    <w:name w:val="Rubrik 2 Char"/>
    <w:basedOn w:val="Standardstycketeckensnitt"/>
    <w:link w:val="Rubrik2"/>
    <w:uiPriority w:val="3"/>
    <w:rPr>
      <w:rFonts w:ascii="Arial" w:hAnsi="Arial" w:cs="Arial"/>
      <w:b/>
      <w:bCs/>
      <w:kern w:val="32"/>
      <w:szCs w:val="32"/>
    </w:rPr>
  </w:style>
  <w:style w:type="character" w:customStyle="1" w:styleId="Rubrik3Char">
    <w:name w:val="Rubrik 3 Char"/>
    <w:basedOn w:val="Standardstycketeckensnitt"/>
    <w:link w:val="Rubrik3"/>
    <w:uiPriority w:val="4"/>
    <w:rPr>
      <w:rFonts w:ascii="Arial" w:hAnsi="Arial" w:cs="Arial"/>
      <w:i/>
      <w:kern w:val="32"/>
      <w:szCs w:val="26"/>
    </w:rPr>
  </w:style>
  <w:style w:type="character" w:customStyle="1" w:styleId="Rubrik4Char">
    <w:name w:val="Rubrik 4 Char"/>
    <w:basedOn w:val="Standardstycketeckensnitt"/>
    <w:link w:val="Rubrik4"/>
    <w:uiPriority w:val="5"/>
    <w:rPr>
      <w:rFonts w:ascii="Arial" w:hAnsi="Arial" w:cs="Arial"/>
      <w:bCs/>
      <w:kern w:val="32"/>
      <w:szCs w:val="28"/>
    </w:rPr>
  </w:style>
  <w:style w:type="character" w:customStyle="1" w:styleId="Rubrik5Char">
    <w:name w:val="Rubrik 5 Char"/>
    <w:basedOn w:val="Standardstycketeckensnitt"/>
    <w:link w:val="Rubrik5"/>
    <w:uiPriority w:val="5"/>
    <w:rPr>
      <w:rFonts w:ascii="Arial" w:hAnsi="Arial" w:cs="Arial"/>
      <w:iCs/>
      <w:kern w:val="32"/>
      <w:szCs w:val="26"/>
    </w:rPr>
  </w:style>
  <w:style w:type="character" w:customStyle="1" w:styleId="RubrikChar">
    <w:name w:val="Rubrik Char"/>
    <w:basedOn w:val="Standardstycketeckensnitt"/>
    <w:link w:val="Rubrik"/>
    <w:uiPriority w:val="16"/>
    <w:rPr>
      <w:rFonts w:ascii="Arial" w:hAnsi="Arial" w:cs="Arial"/>
      <w:b/>
      <w:bCs/>
      <w:kern w:val="28"/>
      <w:sz w:val="32"/>
      <w:szCs w:val="32"/>
    </w:rPr>
  </w:style>
  <w:style w:type="paragraph" w:customStyle="1" w:styleId="ListaA0">
    <w:name w:val="Lista (A)"/>
    <w:basedOn w:val="Listaa1"/>
    <w:uiPriority w:val="6"/>
    <w:semiHidden/>
    <w:qFormat/>
    <w:pPr>
      <w:numPr>
        <w:numId w:val="17"/>
      </w:numPr>
      <w:tabs>
        <w:tab w:val="clear" w:pos="1985"/>
      </w:tabs>
    </w:pPr>
  </w:style>
  <w:style w:type="paragraph" w:customStyle="1" w:styleId="ListaA">
    <w:name w:val="Lista A"/>
    <w:basedOn w:val="ListaA0"/>
    <w:uiPriority w:val="6"/>
    <w:semiHidden/>
    <w:qFormat/>
    <w:pPr>
      <w:numPr>
        <w:numId w:val="16"/>
      </w:numPr>
      <w:tabs>
        <w:tab w:val="clear" w:pos="1985"/>
      </w:tabs>
    </w:pPr>
    <w:rPr>
      <w:noProof/>
      <w:lang w:val="en-GB" w:eastAsia="en-GB"/>
    </w:rPr>
  </w:style>
  <w:style w:type="paragraph" w:customStyle="1" w:styleId="Lista1">
    <w:name w:val="Lista (1)"/>
    <w:basedOn w:val="ListaA"/>
    <w:uiPriority w:val="11"/>
    <w:qFormat/>
    <w:pPr>
      <w:numPr>
        <w:ilvl w:val="2"/>
        <w:numId w:val="18"/>
      </w:numPr>
    </w:pPr>
  </w:style>
  <w:style w:type="character" w:customStyle="1" w:styleId="SidhuvudChar">
    <w:name w:val="Sidhuvud Char"/>
    <w:basedOn w:val="Standardstycketeckensnitt"/>
    <w:link w:val="Sidhuvud"/>
    <w:rPr>
      <w:sz w:val="24"/>
    </w:rPr>
  </w:style>
  <w:style w:type="paragraph" w:customStyle="1" w:styleId="Dokumentrubrik">
    <w:name w:val="Dokumentrubrik"/>
    <w:next w:val="Normal"/>
    <w:uiPriority w:val="14"/>
    <w:qFormat/>
    <w:pPr>
      <w:keepNext/>
      <w:spacing w:after="120" w:line="288" w:lineRule="auto"/>
    </w:pPr>
    <w:rPr>
      <w:rFonts w:ascii="Arial" w:hAnsi="Arial" w:cs="Arial"/>
      <w:b/>
      <w:bCs/>
      <w:kern w:val="32"/>
      <w:sz w:val="26"/>
      <w:szCs w:val="26"/>
    </w:rPr>
  </w:style>
  <w:style w:type="paragraph" w:customStyle="1" w:styleId="Frsttssidagemener">
    <w:name w:val="Försättssida gemener"/>
    <w:basedOn w:val="Normal"/>
    <w:uiPriority w:val="19"/>
    <w:pPr>
      <w:keepNext/>
      <w:jc w:val="center"/>
    </w:pPr>
    <w:rPr>
      <w:rFonts w:cs="Arial"/>
      <w:bCs/>
      <w:kern w:val="28"/>
      <w:szCs w:val="32"/>
    </w:rPr>
  </w:style>
  <w:style w:type="paragraph" w:customStyle="1" w:styleId="RubForstasida">
    <w:name w:val="RubForstasida"/>
    <w:basedOn w:val="Rubrik"/>
    <w:uiPriority w:val="19"/>
    <w:pPr>
      <w:jc w:val="center"/>
      <w:outlineLvl w:val="0"/>
    </w:pPr>
  </w:style>
  <w:style w:type="paragraph" w:customStyle="1" w:styleId="Normalingetavstndefter">
    <w:name w:val="Normal (inget avstånd efter)"/>
    <w:basedOn w:val="Normal"/>
    <w:qFormat/>
    <w:pPr>
      <w:keepNext/>
      <w:spacing w:after="0"/>
      <w:ind w:left="851"/>
    </w:pPr>
  </w:style>
  <w:style w:type="character" w:customStyle="1" w:styleId="apple-converted-space">
    <w:name w:val="apple-converted-space"/>
    <w:basedOn w:val="Standardstycketeckensnitt"/>
  </w:style>
  <w:style w:type="character" w:customStyle="1" w:styleId="pwi-document-highlight-term">
    <w:name w:val="pwi-document-highlight-term"/>
    <w:basedOn w:val="Standardstycketeckensnitt"/>
  </w:style>
  <w:style w:type="character" w:customStyle="1" w:styleId="FotnotstextChar">
    <w:name w:val="Fotnotstext Char"/>
    <w:basedOn w:val="Standardstycketeckensnitt"/>
    <w:link w:val="Fotnotstext"/>
    <w:uiPriority w:val="99"/>
    <w:locked/>
    <w:rPr>
      <w:sz w:val="18"/>
    </w:rPr>
  </w:style>
  <w:style w:type="paragraph" w:styleId="Revision">
    <w:name w:val="Revision"/>
    <w:hidden/>
    <w:uiPriority w:val="99"/>
    <w:semiHidden/>
    <w:rsid w:val="008974D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semiHidden="0" w:uiPriority="5"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6"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120" w:line="288" w:lineRule="auto"/>
    </w:pPr>
    <w:rPr>
      <w:sz w:val="22"/>
    </w:rPr>
  </w:style>
  <w:style w:type="paragraph" w:styleId="Rubrik1">
    <w:name w:val="heading 1"/>
    <w:next w:val="Normalmedindrag"/>
    <w:link w:val="Rubrik1Char"/>
    <w:uiPriority w:val="2"/>
    <w:qFormat/>
    <w:pPr>
      <w:keepNext/>
      <w:numPr>
        <w:numId w:val="13"/>
      </w:numPr>
      <w:spacing w:after="120" w:line="288" w:lineRule="auto"/>
      <w:outlineLvl w:val="0"/>
    </w:pPr>
    <w:rPr>
      <w:rFonts w:ascii="Arial" w:hAnsi="Arial" w:cs="Arial"/>
      <w:b/>
      <w:bCs/>
      <w:kern w:val="32"/>
      <w:sz w:val="22"/>
      <w:szCs w:val="32"/>
    </w:rPr>
  </w:style>
  <w:style w:type="paragraph" w:styleId="Rubrik2">
    <w:name w:val="heading 2"/>
    <w:basedOn w:val="Rubrik1"/>
    <w:next w:val="Normalmedindrag"/>
    <w:link w:val="Rubrik2Char"/>
    <w:uiPriority w:val="3"/>
    <w:qFormat/>
    <w:pPr>
      <w:numPr>
        <w:ilvl w:val="1"/>
      </w:numPr>
      <w:outlineLvl w:val="1"/>
    </w:pPr>
    <w:rPr>
      <w:sz w:val="20"/>
    </w:rPr>
  </w:style>
  <w:style w:type="paragraph" w:styleId="Rubrik3">
    <w:name w:val="heading 3"/>
    <w:basedOn w:val="Rubrik2"/>
    <w:next w:val="Normalmedindrag"/>
    <w:link w:val="Rubrik3Char"/>
    <w:uiPriority w:val="4"/>
    <w:qFormat/>
    <w:pPr>
      <w:numPr>
        <w:ilvl w:val="2"/>
      </w:numPr>
      <w:outlineLvl w:val="2"/>
    </w:pPr>
    <w:rPr>
      <w:b w:val="0"/>
      <w:bCs w:val="0"/>
      <w:i/>
      <w:szCs w:val="26"/>
    </w:rPr>
  </w:style>
  <w:style w:type="paragraph" w:styleId="Rubrik4">
    <w:name w:val="heading 4"/>
    <w:basedOn w:val="Rubrik3"/>
    <w:next w:val="Normalmedindrag"/>
    <w:link w:val="Rubrik4Char"/>
    <w:uiPriority w:val="5"/>
    <w:qFormat/>
    <w:pPr>
      <w:numPr>
        <w:ilvl w:val="3"/>
      </w:numPr>
      <w:outlineLvl w:val="3"/>
    </w:pPr>
    <w:rPr>
      <w:bCs/>
      <w:i w:val="0"/>
      <w:szCs w:val="28"/>
    </w:rPr>
  </w:style>
  <w:style w:type="paragraph" w:styleId="Rubrik5">
    <w:name w:val="heading 5"/>
    <w:basedOn w:val="Rubrik4"/>
    <w:next w:val="Normalmedindrag"/>
    <w:link w:val="Rubrik5Char"/>
    <w:uiPriority w:val="5"/>
    <w:qFormat/>
    <w:pPr>
      <w:numPr>
        <w:ilvl w:val="4"/>
      </w:numPr>
      <w:outlineLvl w:val="4"/>
    </w:pPr>
    <w:rPr>
      <w:bCs w:val="0"/>
      <w:iCs/>
      <w:szCs w:val="26"/>
    </w:rPr>
  </w:style>
  <w:style w:type="paragraph" w:styleId="Rubrik6">
    <w:name w:val="heading 6"/>
    <w:basedOn w:val="Rubrik5"/>
    <w:next w:val="Normal"/>
    <w:qFormat/>
    <w:pPr>
      <w:numPr>
        <w:ilvl w:val="5"/>
      </w:numPr>
      <w:outlineLvl w:val="5"/>
    </w:pPr>
    <w:rPr>
      <w:bCs/>
      <w:szCs w:val="22"/>
    </w:rPr>
  </w:style>
  <w:style w:type="paragraph" w:styleId="Rubrik7">
    <w:name w:val="heading 7"/>
    <w:basedOn w:val="Rubrik6"/>
    <w:next w:val="Normal"/>
    <w:qFormat/>
    <w:pPr>
      <w:numPr>
        <w:ilvl w:val="6"/>
      </w:numPr>
      <w:outlineLvl w:val="6"/>
    </w:pPr>
    <w:rPr>
      <w:szCs w:val="24"/>
    </w:rPr>
  </w:style>
  <w:style w:type="paragraph" w:styleId="Rubrik8">
    <w:name w:val="heading 8"/>
    <w:basedOn w:val="Rubrik7"/>
    <w:next w:val="Normal"/>
    <w:qFormat/>
    <w:pPr>
      <w:numPr>
        <w:ilvl w:val="7"/>
      </w:numPr>
      <w:outlineLvl w:val="7"/>
    </w:pPr>
    <w:rPr>
      <w:i/>
      <w:iCs w:val="0"/>
    </w:rPr>
  </w:style>
  <w:style w:type="paragraph" w:styleId="Rubrik9">
    <w:name w:val="heading 9"/>
    <w:basedOn w:val="Rubrik8"/>
    <w:next w:val="Normal"/>
    <w:qFormat/>
    <w:pPr>
      <w:numPr>
        <w:ilvl w:val="8"/>
      </w:numPr>
      <w:outlineLvl w:val="8"/>
    </w:pPr>
    <w:rPr>
      <w:i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pPr>
      <w:numPr>
        <w:numId w:val="1"/>
      </w:numPr>
    </w:pPr>
  </w:style>
  <w:style w:type="numbering" w:styleId="1ai">
    <w:name w:val="Outline List 1"/>
    <w:basedOn w:val="Ingenlista"/>
    <w:semiHidden/>
    <w:pPr>
      <w:numPr>
        <w:numId w:val="2"/>
      </w:numPr>
    </w:pPr>
  </w:style>
  <w:style w:type="paragraph" w:styleId="Anteckningsrubrik">
    <w:name w:val="Note Heading"/>
    <w:basedOn w:val="Normal"/>
    <w:next w:val="Normal"/>
    <w:semiHidden/>
  </w:style>
  <w:style w:type="character" w:styleId="AnvndHyperlnk">
    <w:name w:val="FollowedHyperlink"/>
    <w:basedOn w:val="Standardstycketeckensnitt"/>
    <w:semiHidden/>
    <w:rPr>
      <w:color w:val="800080"/>
      <w:u w:val="single"/>
    </w:rPr>
  </w:style>
  <w:style w:type="numbering" w:styleId="Artikelsektion">
    <w:name w:val="Outline List 3"/>
    <w:basedOn w:val="Ingenlista"/>
    <w:semiHidden/>
    <w:pPr>
      <w:numPr>
        <w:numId w:val="3"/>
      </w:numPr>
    </w:pPr>
  </w:style>
  <w:style w:type="paragraph" w:styleId="Avslutandetext">
    <w:name w:val="Closing"/>
    <w:basedOn w:val="Normal"/>
    <w:semiHidden/>
    <w:pPr>
      <w:ind w:left="4252"/>
    </w:pPr>
  </w:style>
  <w:style w:type="character" w:styleId="Betoning">
    <w:name w:val="Emphasis"/>
    <w:basedOn w:val="Standardstycketeckensnitt"/>
    <w:semiHidden/>
    <w:rPr>
      <w:i/>
      <w:iCs/>
    </w:rPr>
  </w:style>
  <w:style w:type="paragraph" w:styleId="Brdtext">
    <w:name w:val="Body Text"/>
    <w:basedOn w:val="Normal"/>
    <w:semiHidden/>
  </w:style>
  <w:style w:type="paragraph" w:styleId="Brdtext2">
    <w:name w:val="Body Text 2"/>
    <w:basedOn w:val="Normal"/>
    <w:semiHidden/>
    <w:pPr>
      <w:spacing w:line="360" w:lineRule="auto"/>
    </w:pPr>
    <w:rPr>
      <w:sz w:val="14"/>
      <w:lang w:val="en-GB"/>
    </w:rPr>
  </w:style>
  <w:style w:type="paragraph" w:styleId="Brdtext3">
    <w:name w:val="Body Text 3"/>
    <w:basedOn w:val="Normal"/>
    <w:semiHidden/>
    <w:rPr>
      <w:sz w:val="16"/>
      <w:szCs w:val="16"/>
    </w:rPr>
  </w:style>
  <w:style w:type="paragraph" w:styleId="Brdtextmedfrstaindrag">
    <w:name w:val="Body Text First Indent"/>
    <w:basedOn w:val="Brdtext"/>
    <w:semiHidden/>
    <w:pPr>
      <w:ind w:firstLine="210"/>
    </w:pPr>
  </w:style>
  <w:style w:type="paragraph" w:styleId="Brdtextmedindrag">
    <w:name w:val="Body Text Indent"/>
    <w:basedOn w:val="Normal"/>
    <w:semiHidden/>
    <w:pPr>
      <w:ind w:left="283"/>
    </w:pPr>
  </w:style>
  <w:style w:type="paragraph" w:styleId="Brdtextmedfrstaindrag2">
    <w:name w:val="Body Text First Indent 2"/>
    <w:basedOn w:val="Brdtextmedindrag"/>
    <w:semiHidden/>
    <w:pPr>
      <w:ind w:firstLine="210"/>
    </w:pPr>
  </w:style>
  <w:style w:type="paragraph" w:styleId="Brdtextmedindrag2">
    <w:name w:val="Body Text Indent 2"/>
    <w:basedOn w:val="Normal"/>
    <w:semiHidden/>
    <w:pPr>
      <w:spacing w:line="480" w:lineRule="auto"/>
      <w:ind w:left="283"/>
    </w:pPr>
  </w:style>
  <w:style w:type="paragraph" w:styleId="Brdtextmedindrag3">
    <w:name w:val="Body Text Indent 3"/>
    <w:basedOn w:val="Normal"/>
    <w:semiHidden/>
    <w:pPr>
      <w:ind w:left="283"/>
    </w:pPr>
    <w:rPr>
      <w:sz w:val="16"/>
      <w:szCs w:val="16"/>
    </w:rPr>
  </w:style>
  <w:style w:type="table" w:styleId="Diskrettabell1">
    <w:name w:val="Table Subtle 1"/>
    <w:basedOn w:val="Normaltabell"/>
    <w:semiHidden/>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style>
  <w:style w:type="table" w:styleId="Frgadtabell1">
    <w:name w:val="Table Colorful 1"/>
    <w:basedOn w:val="Normaltabell"/>
    <w:semiHidden/>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Pr>
      <w:i/>
      <w:iCs/>
    </w:rPr>
  </w:style>
  <w:style w:type="character" w:styleId="HTML-akronym">
    <w:name w:val="HTML Acronym"/>
    <w:basedOn w:val="Standardstycketeckensnitt"/>
    <w:semiHidden/>
  </w:style>
  <w:style w:type="character" w:styleId="HTML-citat">
    <w:name w:val="HTML Cite"/>
    <w:basedOn w:val="Standardstycketeckensnitt"/>
    <w:semiHidden/>
    <w:rPr>
      <w:i/>
      <w:iCs/>
    </w:rPr>
  </w:style>
  <w:style w:type="character" w:styleId="HTML-definition">
    <w:name w:val="HTML Definition"/>
    <w:basedOn w:val="Standardstycketeckensnitt"/>
    <w:semiHidden/>
    <w:rPr>
      <w:i/>
      <w:iCs/>
    </w:rPr>
  </w:style>
  <w:style w:type="character" w:styleId="HTML-exempel">
    <w:name w:val="HTML Sample"/>
    <w:basedOn w:val="Standardstycketeckensnitt"/>
    <w:semiHidden/>
    <w:rPr>
      <w:rFonts w:ascii="Courier New" w:hAnsi="Courier New" w:cs="Courier New"/>
    </w:rPr>
  </w:style>
  <w:style w:type="paragraph" w:styleId="HTML-frformaterad">
    <w:name w:val="HTML Preformatted"/>
    <w:basedOn w:val="Normal"/>
    <w:semiHidden/>
    <w:rPr>
      <w:rFonts w:ascii="Courier New" w:hAnsi="Courier New" w:cs="Courier New"/>
      <w:sz w:val="20"/>
    </w:rPr>
  </w:style>
  <w:style w:type="character" w:styleId="HTML-kod">
    <w:name w:val="HTML Code"/>
    <w:basedOn w:val="Standardstycketeckensnitt"/>
    <w:semiHidden/>
    <w:rPr>
      <w:rFonts w:ascii="Courier New" w:hAnsi="Courier New" w:cs="Courier New"/>
      <w:sz w:val="20"/>
      <w:szCs w:val="20"/>
    </w:rPr>
  </w:style>
  <w:style w:type="character" w:styleId="HTML-skrivmaskin">
    <w:name w:val="HTML Typewriter"/>
    <w:basedOn w:val="Standardstycketeckensnitt"/>
    <w:semiHidden/>
    <w:rPr>
      <w:rFonts w:ascii="Courier New" w:hAnsi="Courier New" w:cs="Courier New"/>
      <w:sz w:val="20"/>
      <w:szCs w:val="20"/>
    </w:rPr>
  </w:style>
  <w:style w:type="character" w:styleId="HTML-tangentbord">
    <w:name w:val="HTML Keyboard"/>
    <w:basedOn w:val="Standardstycketeckensnitt"/>
    <w:semiHidden/>
    <w:rPr>
      <w:rFonts w:ascii="Courier New" w:hAnsi="Courier New" w:cs="Courier New"/>
      <w:sz w:val="20"/>
      <w:szCs w:val="20"/>
    </w:rPr>
  </w:style>
  <w:style w:type="character" w:styleId="HTML-variabel">
    <w:name w:val="HTML Variable"/>
    <w:basedOn w:val="Standardstycketeckensnitt"/>
    <w:semiHidden/>
    <w:rPr>
      <w:i/>
      <w:iCs/>
    </w:rPr>
  </w:style>
  <w:style w:type="character" w:styleId="Hyperlnk">
    <w:name w:val="Hyperlink"/>
    <w:basedOn w:val="Standardstycketeckensnitt"/>
    <w:uiPriority w:val="99"/>
    <w:unhideWhenUsed/>
    <w:rPr>
      <w:color w:val="0000FF"/>
      <w:u w:val="single"/>
    </w:rPr>
  </w:style>
  <w:style w:type="paragraph" w:styleId="Indragetstycke">
    <w:name w:val="Block Text"/>
    <w:basedOn w:val="Normal"/>
    <w:semiHidden/>
    <w:pPr>
      <w:ind w:left="1440" w:right="1440"/>
    </w:pPr>
  </w:style>
  <w:style w:type="paragraph" w:styleId="Inledning">
    <w:name w:val="Salutation"/>
    <w:basedOn w:val="Normal"/>
    <w:next w:val="Normal"/>
    <w:semiHidden/>
  </w:style>
  <w:style w:type="paragraph" w:styleId="Lista2">
    <w:name w:val="List 2"/>
    <w:basedOn w:val="Normal"/>
    <w:semiHidden/>
    <w:pPr>
      <w:ind w:left="566" w:hanging="283"/>
    </w:pPr>
  </w:style>
  <w:style w:type="paragraph" w:styleId="Lista3">
    <w:name w:val="List 3"/>
    <w:basedOn w:val="Normal"/>
    <w:semiHidden/>
    <w:pPr>
      <w:ind w:left="849" w:hanging="283"/>
    </w:pPr>
  </w:style>
  <w:style w:type="paragraph" w:styleId="Lista4">
    <w:name w:val="List 4"/>
    <w:basedOn w:val="Normal"/>
    <w:semiHidden/>
    <w:pPr>
      <w:ind w:left="1132" w:hanging="283"/>
    </w:pPr>
  </w:style>
  <w:style w:type="paragraph" w:styleId="Lista5">
    <w:name w:val="List 5"/>
    <w:basedOn w:val="Normal"/>
    <w:semiHidden/>
    <w:pPr>
      <w:ind w:left="1415" w:hanging="283"/>
    </w:pPr>
  </w:style>
  <w:style w:type="paragraph" w:styleId="Listafortstt">
    <w:name w:val="List Continue"/>
    <w:basedOn w:val="Normal"/>
    <w:semiHidden/>
    <w:pPr>
      <w:ind w:left="283"/>
    </w:pPr>
  </w:style>
  <w:style w:type="paragraph" w:styleId="Listafortstt2">
    <w:name w:val="List Continue 2"/>
    <w:basedOn w:val="Normal"/>
    <w:semiHidden/>
    <w:pPr>
      <w:ind w:left="566"/>
    </w:pPr>
  </w:style>
  <w:style w:type="paragraph" w:styleId="Listafortstt3">
    <w:name w:val="List Continue 3"/>
    <w:basedOn w:val="Normal"/>
    <w:semiHidden/>
    <w:pPr>
      <w:ind w:left="849"/>
    </w:pPr>
  </w:style>
  <w:style w:type="paragraph" w:styleId="Listafortstt4">
    <w:name w:val="List Continue 4"/>
    <w:basedOn w:val="Normal"/>
    <w:semiHidden/>
    <w:pPr>
      <w:ind w:left="1132"/>
    </w:pPr>
  </w:style>
  <w:style w:type="paragraph" w:styleId="Listafortstt5">
    <w:name w:val="List Continue 5"/>
    <w:basedOn w:val="Normal"/>
    <w:semiHidden/>
    <w:pPr>
      <w:ind w:left="1415"/>
    </w:pPr>
  </w:style>
  <w:style w:type="paragraph" w:styleId="Meddelanderubrik">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Moderntabell">
    <w:name w:val="Table Contemporary"/>
    <w:basedOn w:val="Normaltabell"/>
    <w:semiHidden/>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style>
  <w:style w:type="paragraph" w:styleId="Normaltindrag">
    <w:name w:val="Normal Indent"/>
    <w:basedOn w:val="Normal"/>
    <w:semiHidden/>
    <w:pPr>
      <w:ind w:left="1304"/>
    </w:pPr>
  </w:style>
  <w:style w:type="paragraph" w:styleId="Numreradlista2">
    <w:name w:val="List Number 2"/>
    <w:basedOn w:val="Normal"/>
    <w:semiHidden/>
    <w:pPr>
      <w:numPr>
        <w:numId w:val="4"/>
      </w:numPr>
    </w:pPr>
  </w:style>
  <w:style w:type="paragraph" w:styleId="Numreradlista3">
    <w:name w:val="List Number 3"/>
    <w:basedOn w:val="Normal"/>
    <w:semiHidden/>
    <w:pPr>
      <w:numPr>
        <w:numId w:val="5"/>
      </w:numPr>
    </w:pPr>
  </w:style>
  <w:style w:type="paragraph" w:styleId="Numreradlista4">
    <w:name w:val="List Number 4"/>
    <w:basedOn w:val="Normal"/>
    <w:semiHidden/>
    <w:pPr>
      <w:numPr>
        <w:numId w:val="6"/>
      </w:numPr>
    </w:pPr>
  </w:style>
  <w:style w:type="paragraph" w:styleId="Numreradlista5">
    <w:name w:val="List Number 5"/>
    <w:basedOn w:val="Normal"/>
    <w:semiHidden/>
    <w:pPr>
      <w:numPr>
        <w:numId w:val="7"/>
      </w:numPr>
    </w:pPr>
  </w:style>
  <w:style w:type="paragraph" w:styleId="Oformateradtext">
    <w:name w:val="Plain Text"/>
    <w:basedOn w:val="Normal"/>
    <w:semiHidden/>
    <w:rPr>
      <w:rFonts w:ascii="Courier New" w:hAnsi="Courier New" w:cs="Courier New"/>
      <w:sz w:val="20"/>
    </w:rPr>
  </w:style>
  <w:style w:type="table" w:styleId="Professionelltabell">
    <w:name w:val="Table Professional"/>
    <w:basedOn w:val="Normaltabell"/>
    <w:semiHidden/>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pPr>
      <w:numPr>
        <w:numId w:val="8"/>
      </w:numPr>
    </w:pPr>
  </w:style>
  <w:style w:type="paragraph" w:styleId="Punktlista3">
    <w:name w:val="List Bullet 3"/>
    <w:basedOn w:val="Normal"/>
    <w:semiHidden/>
    <w:pPr>
      <w:numPr>
        <w:numId w:val="9"/>
      </w:numPr>
    </w:pPr>
  </w:style>
  <w:style w:type="paragraph" w:styleId="Punktlista4">
    <w:name w:val="List Bullet 4"/>
    <w:basedOn w:val="Normal"/>
    <w:semiHidden/>
    <w:pPr>
      <w:numPr>
        <w:numId w:val="10"/>
      </w:numPr>
    </w:pPr>
  </w:style>
  <w:style w:type="paragraph" w:styleId="Punktlista5">
    <w:name w:val="List Bullet 5"/>
    <w:basedOn w:val="Normal"/>
    <w:semiHidden/>
    <w:pPr>
      <w:numPr>
        <w:numId w:val="11"/>
      </w:numPr>
    </w:pPr>
  </w:style>
  <w:style w:type="character" w:styleId="Radnummer">
    <w:name w:val="line number"/>
    <w:basedOn w:val="Standardstycketeckensnitt"/>
    <w:semiHidden/>
  </w:style>
  <w:style w:type="table" w:styleId="Standardtabell1">
    <w:name w:val="Table Classic 1"/>
    <w:basedOn w:val="Normaltabell"/>
    <w:semiHidden/>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rPr>
      <w:b/>
      <w:bCs/>
    </w:rPr>
  </w:style>
  <w:style w:type="table" w:styleId="Tabellmed3D-effekter1">
    <w:name w:val="Table 3D effects 1"/>
    <w:basedOn w:val="Normaltabell"/>
    <w:semiHidden/>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semiHidden/>
    <w:pPr>
      <w:spacing w:after="60"/>
      <w:jc w:val="center"/>
      <w:outlineLvl w:val="1"/>
    </w:pPr>
    <w:rPr>
      <w:rFonts w:cs="Arial"/>
    </w:rPr>
  </w:style>
  <w:style w:type="table" w:styleId="Webbtabell1">
    <w:name w:val="Table Web 1"/>
    <w:basedOn w:val="Normaltabell"/>
    <w:semiHidden/>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6"/>
    <w:pPr>
      <w:keepNext/>
      <w:outlineLvl w:val="5"/>
    </w:pPr>
    <w:rPr>
      <w:rFonts w:ascii="Arial" w:hAnsi="Arial" w:cs="Arial"/>
      <w:b/>
      <w:bCs/>
      <w:kern w:val="28"/>
      <w:sz w:val="32"/>
      <w:szCs w:val="32"/>
    </w:rPr>
  </w:style>
  <w:style w:type="paragraph" w:customStyle="1" w:styleId="DokumentNr">
    <w:name w:val="DokumentNr"/>
    <w:uiPriority w:val="23"/>
    <w:pPr>
      <w:spacing w:after="120"/>
      <w:ind w:right="-1389"/>
      <w:jc w:val="right"/>
    </w:pPr>
    <w:rPr>
      <w:sz w:val="14"/>
      <w:szCs w:val="24"/>
    </w:rPr>
  </w:style>
  <w:style w:type="character" w:styleId="Sidnummer">
    <w:name w:val="page number"/>
    <w:basedOn w:val="Standardstycketeckensnitt"/>
    <w:uiPriority w:val="99"/>
    <w:rPr>
      <w:rFonts w:asciiTheme="minorHAnsi" w:hAnsiTheme="minorHAnsi"/>
      <w:sz w:val="22"/>
    </w:rPr>
  </w:style>
  <w:style w:type="paragraph" w:styleId="Sidhuvud">
    <w:name w:val="header"/>
    <w:basedOn w:val="Normal"/>
    <w:link w:val="SidhuvudChar"/>
    <w:pPr>
      <w:tabs>
        <w:tab w:val="center" w:pos="4536"/>
        <w:tab w:val="right" w:pos="9072"/>
      </w:tabs>
      <w:ind w:left="-1134"/>
    </w:pPr>
  </w:style>
  <w:style w:type="paragraph" w:styleId="Sidfot">
    <w:name w:val="footer"/>
    <w:basedOn w:val="Normal"/>
    <w:semiHidden/>
    <w:pPr>
      <w:tabs>
        <w:tab w:val="center" w:pos="4536"/>
        <w:tab w:val="right" w:pos="9072"/>
      </w:tabs>
    </w:pPr>
    <w:rPr>
      <w:sz w:val="16"/>
    </w:rPr>
  </w:style>
  <w:style w:type="paragraph" w:styleId="Punktlista">
    <w:name w:val="List Bullet"/>
    <w:basedOn w:val="Normal"/>
    <w:semiHidden/>
    <w:pPr>
      <w:numPr>
        <w:numId w:val="12"/>
      </w:numPr>
    </w:pPr>
  </w:style>
  <w:style w:type="paragraph" w:styleId="Avsndaradress-brev">
    <w:name w:val="envelope return"/>
    <w:basedOn w:val="Normal"/>
    <w:semiHidden/>
    <w:pPr>
      <w:spacing w:after="0"/>
    </w:pPr>
    <w:rPr>
      <w:rFonts w:cs="Arial"/>
      <w:sz w:val="18"/>
    </w:rPr>
  </w:style>
  <w:style w:type="paragraph" w:customStyle="1" w:styleId="AvsndaradressRubrik">
    <w:name w:val="AvsändaradressRubrik"/>
    <w:basedOn w:val="Normal"/>
    <w:semiHidden/>
    <w:pPr>
      <w:spacing w:after="0"/>
    </w:pPr>
    <w:rPr>
      <w:rFonts w:ascii="Arial Black" w:hAnsi="Arial Black"/>
      <w:caps/>
      <w:sz w:val="12"/>
      <w:szCs w:val="12"/>
    </w:rPr>
  </w:style>
  <w:style w:type="paragraph" w:customStyle="1" w:styleId="disclaimer">
    <w:name w:val="disclaimer"/>
    <w:basedOn w:val="Normal"/>
    <w:semiHidden/>
    <w:pPr>
      <w:spacing w:line="210" w:lineRule="atLeast"/>
    </w:pPr>
    <w:rPr>
      <w:sz w:val="14"/>
    </w:rPr>
  </w:style>
  <w:style w:type="paragraph" w:customStyle="1" w:styleId="Normalmedindrag">
    <w:name w:val="Normal med indrag"/>
    <w:basedOn w:val="Normal"/>
    <w:qFormat/>
    <w:pPr>
      <w:ind w:left="851"/>
    </w:pPr>
  </w:style>
  <w:style w:type="paragraph" w:customStyle="1" w:styleId="Rubrik1onumrerad">
    <w:name w:val="Rubrik 1 onumrerad"/>
    <w:basedOn w:val="Normal"/>
    <w:next w:val="Normal"/>
    <w:semiHidden/>
    <w:pPr>
      <w:keepNext/>
    </w:pPr>
    <w:rPr>
      <w:b/>
    </w:rPr>
  </w:style>
  <w:style w:type="paragraph" w:customStyle="1" w:styleId="Rubrik2onumrerad">
    <w:name w:val="Rubrik 2 onumrerad"/>
    <w:basedOn w:val="Normal"/>
    <w:next w:val="Normal"/>
    <w:semiHidden/>
    <w:pPr>
      <w:keepNext/>
    </w:pPr>
    <w:rPr>
      <w:b/>
      <w:i/>
    </w:rPr>
  </w:style>
  <w:style w:type="paragraph" w:customStyle="1" w:styleId="Rubrik3onumrerad">
    <w:name w:val="Rubrik 3 onumrerad"/>
    <w:basedOn w:val="Normal"/>
    <w:next w:val="Normal"/>
    <w:semiHidden/>
    <w:pPr>
      <w:keepNext/>
    </w:pPr>
  </w:style>
  <w:style w:type="paragraph" w:styleId="Fotnotstext">
    <w:name w:val="footnote text"/>
    <w:basedOn w:val="Normal"/>
    <w:link w:val="FotnotstextChar"/>
    <w:uiPriority w:val="99"/>
    <w:unhideWhenUsed/>
    <w:pPr>
      <w:spacing w:after="0" w:line="240" w:lineRule="auto"/>
    </w:pPr>
    <w:rPr>
      <w:sz w:val="18"/>
    </w:rPr>
  </w:style>
  <w:style w:type="paragraph" w:customStyle="1" w:styleId="Frsttsbladstext">
    <w:name w:val="Försättsbladstext"/>
    <w:basedOn w:val="Normal"/>
    <w:uiPriority w:val="17"/>
    <w:unhideWhenUsed/>
    <w:qFormat/>
    <w:rPr>
      <w:rFonts w:ascii="Arial" w:hAnsi="Arial"/>
      <w:b/>
      <w:caps/>
      <w:sz w:val="26"/>
    </w:rPr>
  </w:style>
  <w:style w:type="paragraph" w:styleId="Innehll1">
    <w:name w:val="toc 1"/>
    <w:basedOn w:val="Normal"/>
    <w:next w:val="Normal"/>
    <w:uiPriority w:val="39"/>
    <w:semiHidden/>
    <w:unhideWhenUsed/>
    <w:pPr>
      <w:tabs>
        <w:tab w:val="right" w:leader="dot" w:pos="7371"/>
      </w:tabs>
      <w:spacing w:after="0"/>
      <w:ind w:left="851" w:hanging="851"/>
    </w:pPr>
  </w:style>
  <w:style w:type="paragraph" w:styleId="Innehll2">
    <w:name w:val="toc 2"/>
    <w:basedOn w:val="Normal"/>
    <w:next w:val="Normal"/>
    <w:uiPriority w:val="39"/>
    <w:semiHidden/>
    <w:unhideWhenUsed/>
    <w:pPr>
      <w:tabs>
        <w:tab w:val="right" w:leader="dot" w:pos="7371"/>
        <w:tab w:val="right" w:leader="dot" w:pos="8222"/>
      </w:tabs>
      <w:spacing w:after="0"/>
      <w:ind w:left="851" w:hanging="851"/>
    </w:pPr>
  </w:style>
  <w:style w:type="paragraph" w:styleId="Innehll3">
    <w:name w:val="toc 3"/>
    <w:basedOn w:val="Normal"/>
    <w:next w:val="Normal"/>
    <w:autoRedefine/>
    <w:uiPriority w:val="39"/>
    <w:semiHidden/>
    <w:unhideWhenUsed/>
    <w:pPr>
      <w:tabs>
        <w:tab w:val="right" w:leader="dot" w:pos="7371"/>
      </w:tabs>
      <w:spacing w:after="0"/>
      <w:ind w:left="851" w:hanging="851"/>
    </w:pPr>
  </w:style>
  <w:style w:type="paragraph" w:styleId="Innehll4">
    <w:name w:val="toc 4"/>
    <w:basedOn w:val="Normal"/>
    <w:next w:val="Normal"/>
    <w:autoRedefine/>
    <w:uiPriority w:val="39"/>
    <w:semiHidden/>
    <w:pPr>
      <w:tabs>
        <w:tab w:val="right" w:leader="dot" w:pos="7371"/>
      </w:tabs>
      <w:spacing w:after="0"/>
      <w:ind w:left="851" w:hanging="851"/>
    </w:pPr>
  </w:style>
  <w:style w:type="paragraph" w:styleId="Innehll5">
    <w:name w:val="toc 5"/>
    <w:basedOn w:val="Normal"/>
    <w:next w:val="Normal"/>
    <w:autoRedefine/>
    <w:uiPriority w:val="39"/>
    <w:semiHidden/>
    <w:pPr>
      <w:tabs>
        <w:tab w:val="right" w:leader="dot" w:pos="8222"/>
      </w:tabs>
      <w:spacing w:after="0"/>
      <w:ind w:left="1304" w:hanging="1304"/>
    </w:pPr>
  </w:style>
  <w:style w:type="paragraph" w:styleId="Innehll6">
    <w:name w:val="toc 6"/>
    <w:basedOn w:val="Normal"/>
    <w:next w:val="Normal"/>
    <w:autoRedefine/>
    <w:uiPriority w:val="39"/>
    <w:semiHidden/>
    <w:pPr>
      <w:tabs>
        <w:tab w:val="right" w:leader="dot" w:pos="8222"/>
      </w:tabs>
      <w:spacing w:after="0"/>
    </w:pPr>
  </w:style>
  <w:style w:type="paragraph" w:customStyle="1" w:styleId="Onumreradrubrik1">
    <w:name w:val="Onumrerad rubrik 1"/>
    <w:next w:val="Normal"/>
    <w:uiPriority w:val="13"/>
    <w:qFormat/>
    <w:pPr>
      <w:keepNext/>
      <w:spacing w:after="120" w:line="288" w:lineRule="auto"/>
      <w:outlineLvl w:val="5"/>
    </w:pPr>
    <w:rPr>
      <w:rFonts w:ascii="Arial" w:hAnsi="Arial" w:cs="Arial"/>
      <w:b/>
      <w:bCs/>
      <w:kern w:val="32"/>
      <w:sz w:val="22"/>
      <w:szCs w:val="32"/>
    </w:rPr>
  </w:style>
  <w:style w:type="paragraph" w:customStyle="1" w:styleId="Onumreradrubrik4">
    <w:name w:val="Onumrerad rubrik 4"/>
    <w:next w:val="Normal"/>
    <w:uiPriority w:val="15"/>
    <w:semiHidden/>
    <w:qFormat/>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
    <w:uiPriority w:val="13"/>
    <w:qFormat/>
    <w:rPr>
      <w:b/>
    </w:rPr>
  </w:style>
  <w:style w:type="paragraph" w:customStyle="1" w:styleId="Onumreradrubrik3">
    <w:name w:val="Onumrerad rubrik 3"/>
    <w:basedOn w:val="Onumreradrubrik4"/>
    <w:next w:val="Normal"/>
    <w:uiPriority w:val="13"/>
    <w:qFormat/>
    <w:rPr>
      <w:i/>
    </w:rPr>
  </w:style>
  <w:style w:type="paragraph" w:customStyle="1" w:styleId="Docid">
    <w:name w:val="Docid"/>
    <w:basedOn w:val="Normal"/>
    <w:uiPriority w:val="22"/>
    <w:semiHidden/>
    <w:unhideWhenUsed/>
    <w:pPr>
      <w:spacing w:line="240" w:lineRule="auto"/>
      <w:ind w:left="7070"/>
    </w:pPr>
    <w:rPr>
      <w:rFonts w:cs="Arial"/>
      <w:iCs/>
      <w:sz w:val="14"/>
    </w:rPr>
  </w:style>
  <w:style w:type="paragraph" w:customStyle="1" w:styleId="Stycke1">
    <w:name w:val="Stycke 1"/>
    <w:basedOn w:val="Rubrik1"/>
    <w:uiPriority w:val="7"/>
    <w:qFormat/>
    <w:pPr>
      <w:keepNext w:val="0"/>
    </w:pPr>
    <w:rPr>
      <w:rFonts w:asciiTheme="minorHAnsi" w:hAnsiTheme="minorHAnsi"/>
      <w:b w:val="0"/>
    </w:rPr>
  </w:style>
  <w:style w:type="paragraph" w:customStyle="1" w:styleId="Stycke2">
    <w:name w:val="Stycke 2"/>
    <w:basedOn w:val="Rubrik2"/>
    <w:uiPriority w:val="7"/>
    <w:qFormat/>
    <w:pPr>
      <w:keepNext w:val="0"/>
    </w:pPr>
    <w:rPr>
      <w:rFonts w:asciiTheme="minorHAnsi" w:hAnsiTheme="minorHAnsi"/>
      <w:b w:val="0"/>
      <w:sz w:val="22"/>
    </w:rPr>
  </w:style>
  <w:style w:type="paragraph" w:customStyle="1" w:styleId="Stycke3">
    <w:name w:val="Stycke 3"/>
    <w:basedOn w:val="Rubrik3"/>
    <w:uiPriority w:val="7"/>
    <w:qFormat/>
    <w:pPr>
      <w:keepNext w:val="0"/>
    </w:pPr>
    <w:rPr>
      <w:rFonts w:asciiTheme="minorHAnsi" w:hAnsiTheme="minorHAnsi"/>
      <w:i w:val="0"/>
      <w:sz w:val="22"/>
    </w:rPr>
  </w:style>
  <w:style w:type="paragraph" w:customStyle="1" w:styleId="Stycke4">
    <w:name w:val="Stycke 4"/>
    <w:basedOn w:val="Rubrik4"/>
    <w:uiPriority w:val="7"/>
    <w:semiHidden/>
    <w:qFormat/>
    <w:pPr>
      <w:keepNext w:val="0"/>
    </w:pPr>
    <w:rPr>
      <w:rFonts w:asciiTheme="minorHAnsi" w:hAnsiTheme="minorHAnsi"/>
      <w:sz w:val="22"/>
    </w:rPr>
  </w:style>
  <w:style w:type="paragraph" w:customStyle="1" w:styleId="Stycke5">
    <w:name w:val="Stycke 5"/>
    <w:basedOn w:val="Rubrik5"/>
    <w:uiPriority w:val="7"/>
    <w:semiHidden/>
    <w:qFormat/>
    <w:pPr>
      <w:keepNext w:val="0"/>
    </w:pPr>
    <w:rPr>
      <w:rFonts w:asciiTheme="minorHAnsi" w:hAnsiTheme="minorHAnsi"/>
      <w:sz w:val="22"/>
    </w:rPr>
  </w:style>
  <w:style w:type="numbering" w:customStyle="1" w:styleId="GDAPunktlistor">
    <w:name w:val="GDA Punktlistor"/>
    <w:uiPriority w:val="99"/>
    <w:pPr>
      <w:numPr>
        <w:numId w:val="14"/>
      </w:numPr>
    </w:pPr>
  </w:style>
  <w:style w:type="paragraph" w:customStyle="1" w:styleId="Lista-">
    <w:name w:val="Lista (-)"/>
    <w:basedOn w:val="Normal"/>
    <w:semiHidden/>
  </w:style>
  <w:style w:type="paragraph" w:customStyle="1" w:styleId="Listaa1">
    <w:name w:val="Lista (a)"/>
    <w:basedOn w:val="Normal"/>
    <w:uiPriority w:val="9"/>
    <w:qFormat/>
    <w:pPr>
      <w:numPr>
        <w:numId w:val="18"/>
      </w:numPr>
    </w:pPr>
  </w:style>
  <w:style w:type="paragraph" w:styleId="Adress-brev">
    <w:name w:val="envelope address"/>
    <w:basedOn w:val="Normal"/>
    <w:semiHidden/>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ngtext">
    <w:name w:val="Balloon Text"/>
    <w:basedOn w:val="Normal"/>
    <w:link w:val="BallongtextChar"/>
    <w:semiHidden/>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Pr>
      <w:rFonts w:ascii="Tahoma" w:hAnsi="Tahoma" w:cs="Tahoma"/>
      <w:sz w:val="16"/>
      <w:szCs w:val="16"/>
    </w:rPr>
  </w:style>
  <w:style w:type="paragraph" w:styleId="Beskrivning">
    <w:name w:val="caption"/>
    <w:basedOn w:val="Normal"/>
    <w:next w:val="Normal"/>
    <w:semiHidden/>
    <w:pPr>
      <w:spacing w:line="240" w:lineRule="auto"/>
    </w:pPr>
    <w:rPr>
      <w:b/>
      <w:bCs/>
      <w:color w:val="015291" w:themeColor="accent1"/>
      <w:sz w:val="18"/>
      <w:szCs w:val="18"/>
    </w:rPr>
  </w:style>
  <w:style w:type="character" w:styleId="Bokenstitel">
    <w:name w:val="Book Title"/>
    <w:basedOn w:val="Standardstycketeckensnitt"/>
    <w:uiPriority w:val="33"/>
    <w:semiHidden/>
    <w:rPr>
      <w:b/>
      <w:bCs/>
      <w:smallCaps/>
      <w:spacing w:val="5"/>
    </w:rPr>
  </w:style>
  <w:style w:type="paragraph" w:styleId="Citat">
    <w:name w:val="Quote"/>
    <w:basedOn w:val="Normal"/>
    <w:next w:val="Normal"/>
    <w:link w:val="CitatChar"/>
    <w:uiPriority w:val="29"/>
    <w:semiHidden/>
    <w:rPr>
      <w:i/>
      <w:iCs/>
      <w:color w:val="666666" w:themeColor="text1"/>
    </w:rPr>
  </w:style>
  <w:style w:type="character" w:customStyle="1" w:styleId="CitatChar">
    <w:name w:val="Citat Char"/>
    <w:basedOn w:val="Standardstycketeckensnitt"/>
    <w:link w:val="Citat"/>
    <w:uiPriority w:val="29"/>
    <w:rPr>
      <w:i/>
      <w:iCs/>
      <w:color w:val="666666" w:themeColor="text1"/>
      <w:sz w:val="24"/>
    </w:rPr>
  </w:style>
  <w:style w:type="paragraph" w:styleId="Citatfrteckning">
    <w:name w:val="table of authorities"/>
    <w:basedOn w:val="Normal"/>
    <w:next w:val="Normal"/>
    <w:semiHidden/>
    <w:pPr>
      <w:spacing w:after="0"/>
      <w:ind w:left="240" w:hanging="240"/>
    </w:pPr>
  </w:style>
  <w:style w:type="paragraph" w:styleId="Citatfrteckningsrubrik">
    <w:name w:val="toa heading"/>
    <w:basedOn w:val="Normal"/>
    <w:next w:val="Normal"/>
    <w:semiHidden/>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style>
  <w:style w:type="character" w:customStyle="1" w:styleId="DatumChar">
    <w:name w:val="Datum Char"/>
    <w:basedOn w:val="Standardstycketeckensnitt"/>
    <w:link w:val="Datum"/>
    <w:rPr>
      <w:sz w:val="24"/>
    </w:rPr>
  </w:style>
  <w:style w:type="character" w:styleId="Diskretbetoning">
    <w:name w:val="Subtle Emphasis"/>
    <w:basedOn w:val="Standardstycketeckensnitt"/>
    <w:uiPriority w:val="19"/>
    <w:semiHidden/>
    <w:rPr>
      <w:i/>
      <w:iCs/>
      <w:color w:val="B2B2B2" w:themeColor="text1" w:themeTint="7F"/>
    </w:rPr>
  </w:style>
  <w:style w:type="character" w:styleId="Diskretreferens">
    <w:name w:val="Subtle Reference"/>
    <w:basedOn w:val="Standardstycketeckensnitt"/>
    <w:uiPriority w:val="31"/>
    <w:semiHidden/>
    <w:rPr>
      <w:smallCaps/>
      <w:color w:val="000000" w:themeColor="accent2"/>
      <w:u w:val="single"/>
    </w:rPr>
  </w:style>
  <w:style w:type="paragraph" w:styleId="Dokumentversikt">
    <w:name w:val="Document Map"/>
    <w:basedOn w:val="Normal"/>
    <w:link w:val="DokumentversiktChar"/>
    <w:semiHidden/>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rPr>
      <w:rFonts w:ascii="Tahoma" w:hAnsi="Tahoma" w:cs="Tahoma"/>
      <w:sz w:val="16"/>
      <w:szCs w:val="16"/>
    </w:rPr>
  </w:style>
  <w:style w:type="paragraph" w:styleId="Figurfrteckning">
    <w:name w:val="table of figures"/>
    <w:basedOn w:val="Normal"/>
    <w:next w:val="Normal"/>
    <w:semiHidden/>
    <w:pPr>
      <w:spacing w:after="0"/>
    </w:pPr>
  </w:style>
  <w:style w:type="character" w:styleId="Fotnotsreferens">
    <w:name w:val="footnote reference"/>
    <w:basedOn w:val="Standardstycketeckensnitt"/>
    <w:uiPriority w:val="99"/>
    <w:semiHidden/>
    <w:rPr>
      <w:vertAlign w:val="superscript"/>
    </w:rPr>
  </w:style>
  <w:style w:type="paragraph" w:styleId="Index1">
    <w:name w:val="index 1"/>
    <w:basedOn w:val="Normal"/>
    <w:next w:val="Normal"/>
    <w:autoRedefine/>
    <w:semiHidden/>
    <w:pPr>
      <w:spacing w:after="0" w:line="240" w:lineRule="auto"/>
      <w:ind w:left="240" w:hanging="240"/>
    </w:pPr>
  </w:style>
  <w:style w:type="paragraph" w:styleId="Index2">
    <w:name w:val="index 2"/>
    <w:basedOn w:val="Normal"/>
    <w:next w:val="Normal"/>
    <w:autoRedefine/>
    <w:semiHidden/>
    <w:pPr>
      <w:spacing w:after="0" w:line="240" w:lineRule="auto"/>
      <w:ind w:left="480" w:hanging="240"/>
    </w:pPr>
  </w:style>
  <w:style w:type="paragraph" w:styleId="Index3">
    <w:name w:val="index 3"/>
    <w:basedOn w:val="Normal"/>
    <w:next w:val="Normal"/>
    <w:autoRedefine/>
    <w:semiHidden/>
    <w:pPr>
      <w:spacing w:after="0" w:line="240" w:lineRule="auto"/>
      <w:ind w:left="720" w:hanging="240"/>
    </w:pPr>
  </w:style>
  <w:style w:type="paragraph" w:styleId="Index4">
    <w:name w:val="index 4"/>
    <w:basedOn w:val="Normal"/>
    <w:next w:val="Normal"/>
    <w:autoRedefine/>
    <w:semiHidden/>
    <w:pPr>
      <w:spacing w:after="0" w:line="240" w:lineRule="auto"/>
      <w:ind w:left="960" w:hanging="240"/>
    </w:pPr>
  </w:style>
  <w:style w:type="paragraph" w:styleId="Index5">
    <w:name w:val="index 5"/>
    <w:basedOn w:val="Normal"/>
    <w:next w:val="Normal"/>
    <w:autoRedefine/>
    <w:semiHidden/>
    <w:pPr>
      <w:spacing w:after="0" w:line="240" w:lineRule="auto"/>
      <w:ind w:left="1200" w:hanging="240"/>
    </w:pPr>
  </w:style>
  <w:style w:type="paragraph" w:styleId="Index6">
    <w:name w:val="index 6"/>
    <w:basedOn w:val="Normal"/>
    <w:next w:val="Normal"/>
    <w:autoRedefine/>
    <w:semiHidden/>
    <w:pPr>
      <w:spacing w:after="0" w:line="240" w:lineRule="auto"/>
      <w:ind w:left="1440" w:hanging="240"/>
    </w:pPr>
  </w:style>
  <w:style w:type="paragraph" w:styleId="Index7">
    <w:name w:val="index 7"/>
    <w:basedOn w:val="Normal"/>
    <w:next w:val="Normal"/>
    <w:autoRedefine/>
    <w:semiHidden/>
    <w:pPr>
      <w:spacing w:after="0" w:line="240" w:lineRule="auto"/>
      <w:ind w:left="1680" w:hanging="240"/>
    </w:pPr>
  </w:style>
  <w:style w:type="paragraph" w:styleId="Index8">
    <w:name w:val="index 8"/>
    <w:basedOn w:val="Normal"/>
    <w:next w:val="Normal"/>
    <w:autoRedefine/>
    <w:semiHidden/>
    <w:pPr>
      <w:spacing w:after="0" w:line="240" w:lineRule="auto"/>
      <w:ind w:left="1920" w:hanging="240"/>
    </w:pPr>
  </w:style>
  <w:style w:type="paragraph" w:styleId="Index9">
    <w:name w:val="index 9"/>
    <w:basedOn w:val="Normal"/>
    <w:next w:val="Normal"/>
    <w:autoRedefine/>
    <w:semiHidden/>
    <w:pPr>
      <w:spacing w:after="0" w:line="240" w:lineRule="auto"/>
      <w:ind w:left="2160" w:hanging="240"/>
    </w:pPr>
  </w:style>
  <w:style w:type="paragraph" w:styleId="Indexrubrik">
    <w:name w:val="index heading"/>
    <w:basedOn w:val="Normal"/>
    <w:next w:val="Index1"/>
    <w:semiHidden/>
    <w:rPr>
      <w:rFonts w:asciiTheme="majorHAnsi" w:eastAsiaTheme="majorEastAsia" w:hAnsiTheme="majorHAnsi" w:cstheme="majorBidi"/>
      <w:b/>
      <w:bCs/>
    </w:rPr>
  </w:style>
  <w:style w:type="paragraph" w:styleId="Ingetavstnd">
    <w:name w:val="No Spacing"/>
    <w:uiPriority w:val="1"/>
    <w:semiHidden/>
    <w:rPr>
      <w:sz w:val="24"/>
    </w:rPr>
  </w:style>
  <w:style w:type="paragraph" w:styleId="Innehll7">
    <w:name w:val="toc 7"/>
    <w:basedOn w:val="Normal"/>
    <w:next w:val="Normal"/>
    <w:autoRedefine/>
    <w:semiHidden/>
    <w:pPr>
      <w:spacing w:after="100"/>
      <w:ind w:left="1440"/>
    </w:pPr>
  </w:style>
  <w:style w:type="paragraph" w:styleId="Innehll8">
    <w:name w:val="toc 8"/>
    <w:basedOn w:val="Normal"/>
    <w:next w:val="Normal"/>
    <w:autoRedefine/>
    <w:semiHidden/>
    <w:pPr>
      <w:spacing w:after="100"/>
      <w:ind w:left="1680"/>
    </w:pPr>
  </w:style>
  <w:style w:type="paragraph" w:styleId="Innehll9">
    <w:name w:val="toc 9"/>
    <w:basedOn w:val="Normal"/>
    <w:next w:val="Normal"/>
    <w:autoRedefine/>
    <w:semiHidden/>
    <w:pPr>
      <w:spacing w:after="100"/>
      <w:ind w:left="1920"/>
    </w:pPr>
  </w:style>
  <w:style w:type="paragraph" w:styleId="Innehllsfrteckningsrubrik">
    <w:name w:val="TOC Heading"/>
    <w:basedOn w:val="Rubrik1"/>
    <w:next w:val="Normal"/>
    <w:uiPriority w:val="39"/>
    <w:semiHidden/>
    <w:pPr>
      <w:keepLines/>
      <w:numPr>
        <w:numId w:val="0"/>
      </w:numPr>
      <w:spacing w:before="480" w:after="0"/>
      <w:outlineLvl w:val="9"/>
    </w:pPr>
    <w:rPr>
      <w:rFonts w:asciiTheme="majorHAnsi" w:eastAsiaTheme="majorEastAsia" w:hAnsiTheme="majorHAnsi" w:cstheme="majorBidi"/>
      <w:color w:val="003D6C" w:themeColor="accent1" w:themeShade="BF"/>
      <w:kern w:val="0"/>
      <w:sz w:val="28"/>
      <w:szCs w:val="28"/>
    </w:rPr>
  </w:style>
  <w:style w:type="paragraph" w:styleId="Kommentarer">
    <w:name w:val="annotation text"/>
    <w:basedOn w:val="Normal"/>
    <w:link w:val="KommentarerChar"/>
    <w:semiHidden/>
    <w:pPr>
      <w:spacing w:line="240" w:lineRule="auto"/>
    </w:pPr>
    <w:rPr>
      <w:sz w:val="20"/>
    </w:rPr>
  </w:style>
  <w:style w:type="character" w:customStyle="1" w:styleId="KommentarerChar">
    <w:name w:val="Kommentarer Char"/>
    <w:basedOn w:val="Standardstycketeckensnitt"/>
    <w:link w:val="Kommentarer"/>
  </w:style>
  <w:style w:type="character" w:styleId="Kommentarsreferens">
    <w:name w:val="annotation reference"/>
    <w:basedOn w:val="Standardstycketeckensnitt"/>
    <w:semiHidden/>
    <w:rPr>
      <w:sz w:val="16"/>
      <w:szCs w:val="16"/>
    </w:rPr>
  </w:style>
  <w:style w:type="paragraph" w:styleId="Kommentarsmne">
    <w:name w:val="annotation subject"/>
    <w:basedOn w:val="Kommentarer"/>
    <w:next w:val="Kommentarer"/>
    <w:link w:val="KommentarsmneChar"/>
    <w:semiHidden/>
    <w:rPr>
      <w:b/>
      <w:bCs/>
    </w:rPr>
  </w:style>
  <w:style w:type="character" w:customStyle="1" w:styleId="KommentarsmneChar">
    <w:name w:val="Kommentarsämne Char"/>
    <w:basedOn w:val="KommentarerChar"/>
    <w:link w:val="Kommentarsmne"/>
    <w:rPr>
      <w:b/>
      <w:bCs/>
    </w:rPr>
  </w:style>
  <w:style w:type="paragraph" w:styleId="Lista0">
    <w:name w:val="List"/>
    <w:basedOn w:val="Normal"/>
    <w:semiHidden/>
    <w:pPr>
      <w:ind w:left="283" w:hanging="283"/>
      <w:contextualSpacing/>
    </w:pPr>
  </w:style>
  <w:style w:type="paragraph" w:styleId="Liststycke">
    <w:name w:val="List Paragraph"/>
    <w:basedOn w:val="Normal"/>
    <w:uiPriority w:val="34"/>
    <w:semiHidden/>
    <w:pPr>
      <w:ind w:left="720"/>
      <w:contextualSpacing/>
    </w:pPr>
  </w:style>
  <w:style w:type="paragraph" w:styleId="Litteraturfrteckning">
    <w:name w:val="Bibliography"/>
    <w:basedOn w:val="Normal"/>
    <w:next w:val="Normal"/>
    <w:uiPriority w:val="37"/>
    <w:semiHidden/>
  </w:style>
  <w:style w:type="paragraph" w:styleId="Makrotext">
    <w:name w:val="macro"/>
    <w:link w:val="MakrotextChar"/>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krotextChar">
    <w:name w:val="Makrotext Char"/>
    <w:basedOn w:val="Standardstycketeckensnitt"/>
    <w:link w:val="Makrotext"/>
    <w:rPr>
      <w:rFonts w:ascii="Consolas" w:hAnsi="Consolas"/>
    </w:rPr>
  </w:style>
  <w:style w:type="paragraph" w:styleId="Numreradlista">
    <w:name w:val="List Number"/>
    <w:basedOn w:val="Listanumrerad"/>
    <w:semiHidden/>
  </w:style>
  <w:style w:type="character" w:styleId="Platshllartext">
    <w:name w:val="Placeholder Text"/>
    <w:basedOn w:val="Standardstycketeckensnitt"/>
    <w:uiPriority w:val="99"/>
    <w:semiHidden/>
    <w:rPr>
      <w:color w:val="808080"/>
    </w:rPr>
  </w:style>
  <w:style w:type="paragraph" w:styleId="Signatur">
    <w:name w:val="Signature"/>
    <w:basedOn w:val="Normal"/>
    <w:link w:val="SignaturChar"/>
    <w:semiHidden/>
    <w:pPr>
      <w:spacing w:after="0" w:line="240" w:lineRule="auto"/>
      <w:ind w:left="4252"/>
    </w:pPr>
  </w:style>
  <w:style w:type="character" w:customStyle="1" w:styleId="SignaturChar">
    <w:name w:val="Signatur Char"/>
    <w:basedOn w:val="Standardstycketeckensnitt"/>
    <w:link w:val="Signatur"/>
    <w:rPr>
      <w:sz w:val="24"/>
    </w:rPr>
  </w:style>
  <w:style w:type="paragraph" w:styleId="Slutkommentar">
    <w:name w:val="endnote text"/>
    <w:basedOn w:val="Normal"/>
    <w:link w:val="SlutkommentarChar"/>
    <w:semiHidden/>
    <w:pPr>
      <w:spacing w:after="0" w:line="240" w:lineRule="auto"/>
    </w:pPr>
    <w:rPr>
      <w:sz w:val="20"/>
    </w:rPr>
  </w:style>
  <w:style w:type="character" w:customStyle="1" w:styleId="SlutkommentarChar">
    <w:name w:val="Slutkommentar Char"/>
    <w:basedOn w:val="Standardstycketeckensnitt"/>
    <w:link w:val="Slutkommentar"/>
  </w:style>
  <w:style w:type="character" w:styleId="Slutkommentarsreferens">
    <w:name w:val="endnote reference"/>
    <w:basedOn w:val="Standardstycketeckensnitt"/>
    <w:semiHidden/>
    <w:rPr>
      <w:vertAlign w:val="superscript"/>
    </w:rPr>
  </w:style>
  <w:style w:type="character" w:styleId="Starkbetoning">
    <w:name w:val="Intense Emphasis"/>
    <w:basedOn w:val="Standardstycketeckensnitt"/>
    <w:uiPriority w:val="21"/>
    <w:semiHidden/>
    <w:rPr>
      <w:b/>
      <w:bCs/>
      <w:i/>
      <w:iCs/>
      <w:color w:val="015291" w:themeColor="accent1"/>
    </w:rPr>
  </w:style>
  <w:style w:type="character" w:styleId="Starkreferens">
    <w:name w:val="Intense Reference"/>
    <w:basedOn w:val="Standardstycketeckensnitt"/>
    <w:uiPriority w:val="32"/>
    <w:semiHidden/>
    <w:rPr>
      <w:b/>
      <w:bCs/>
      <w:smallCaps/>
      <w:color w:val="000000" w:themeColor="accent2"/>
      <w:spacing w:val="5"/>
      <w:u w:val="single"/>
    </w:rPr>
  </w:style>
  <w:style w:type="paragraph" w:styleId="Starktcitat">
    <w:name w:val="Intense Quote"/>
    <w:basedOn w:val="Normal"/>
    <w:next w:val="Normal"/>
    <w:link w:val="StarktcitatChar"/>
    <w:uiPriority w:val="30"/>
    <w:semiHidden/>
    <w:pPr>
      <w:pBdr>
        <w:bottom w:val="single" w:sz="4" w:space="4" w:color="015291" w:themeColor="accent1"/>
      </w:pBdr>
      <w:spacing w:before="200" w:after="280"/>
      <w:ind w:left="936" w:right="936"/>
    </w:pPr>
    <w:rPr>
      <w:b/>
      <w:bCs/>
      <w:i/>
      <w:iCs/>
      <w:color w:val="015291" w:themeColor="accent1"/>
    </w:rPr>
  </w:style>
  <w:style w:type="character" w:customStyle="1" w:styleId="StarktcitatChar">
    <w:name w:val="Starkt citat Char"/>
    <w:basedOn w:val="Standardstycketeckensnitt"/>
    <w:link w:val="Starktcitat"/>
    <w:uiPriority w:val="30"/>
    <w:rPr>
      <w:b/>
      <w:bCs/>
      <w:i/>
      <w:iCs/>
      <w:color w:val="015291" w:themeColor="accent1"/>
      <w:sz w:val="24"/>
    </w:rPr>
  </w:style>
  <w:style w:type="paragraph" w:customStyle="1" w:styleId="Listanumrerad">
    <w:name w:val="Lista numrerad"/>
    <w:basedOn w:val="Normal"/>
    <w:uiPriority w:val="13"/>
    <w:qFormat/>
    <w:pPr>
      <w:numPr>
        <w:numId w:val="19"/>
      </w:numPr>
    </w:pPr>
  </w:style>
  <w:style w:type="paragraph" w:customStyle="1" w:styleId="mottagaradress-brev">
    <w:name w:val="mottagaradress -brev"/>
    <w:basedOn w:val="Normal"/>
    <w:uiPriority w:val="24"/>
    <w:semiHidden/>
    <w:unhideWhenUsed/>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style>
  <w:style w:type="paragraph" w:customStyle="1" w:styleId="Listai">
    <w:name w:val="Lista (i)"/>
    <w:basedOn w:val="Normal"/>
    <w:uiPriority w:val="10"/>
    <w:qFormat/>
    <w:pPr>
      <w:numPr>
        <w:ilvl w:val="1"/>
        <w:numId w:val="18"/>
      </w:numPr>
    </w:pPr>
  </w:style>
  <w:style w:type="paragraph" w:customStyle="1" w:styleId="Lista">
    <w:name w:val="Lista ●"/>
    <w:basedOn w:val="Normal"/>
    <w:uiPriority w:val="13"/>
    <w:qFormat/>
    <w:pPr>
      <w:numPr>
        <w:numId w:val="15"/>
      </w:numPr>
      <w:tabs>
        <w:tab w:val="left" w:pos="851"/>
      </w:tabs>
      <w:ind w:left="1531" w:hanging="680"/>
    </w:pPr>
  </w:style>
  <w:style w:type="character" w:customStyle="1" w:styleId="Rubrik1Char">
    <w:name w:val="Rubrik 1 Char"/>
    <w:basedOn w:val="Standardstycketeckensnitt"/>
    <w:link w:val="Rubrik1"/>
    <w:uiPriority w:val="2"/>
    <w:rPr>
      <w:rFonts w:ascii="Arial" w:hAnsi="Arial" w:cs="Arial"/>
      <w:b/>
      <w:bCs/>
      <w:kern w:val="32"/>
      <w:sz w:val="22"/>
      <w:szCs w:val="32"/>
    </w:rPr>
  </w:style>
  <w:style w:type="character" w:customStyle="1" w:styleId="Rubrik2Char">
    <w:name w:val="Rubrik 2 Char"/>
    <w:basedOn w:val="Standardstycketeckensnitt"/>
    <w:link w:val="Rubrik2"/>
    <w:uiPriority w:val="3"/>
    <w:rPr>
      <w:rFonts w:ascii="Arial" w:hAnsi="Arial" w:cs="Arial"/>
      <w:b/>
      <w:bCs/>
      <w:kern w:val="32"/>
      <w:szCs w:val="32"/>
    </w:rPr>
  </w:style>
  <w:style w:type="character" w:customStyle="1" w:styleId="Rubrik3Char">
    <w:name w:val="Rubrik 3 Char"/>
    <w:basedOn w:val="Standardstycketeckensnitt"/>
    <w:link w:val="Rubrik3"/>
    <w:uiPriority w:val="4"/>
    <w:rPr>
      <w:rFonts w:ascii="Arial" w:hAnsi="Arial" w:cs="Arial"/>
      <w:i/>
      <w:kern w:val="32"/>
      <w:szCs w:val="26"/>
    </w:rPr>
  </w:style>
  <w:style w:type="character" w:customStyle="1" w:styleId="Rubrik4Char">
    <w:name w:val="Rubrik 4 Char"/>
    <w:basedOn w:val="Standardstycketeckensnitt"/>
    <w:link w:val="Rubrik4"/>
    <w:uiPriority w:val="5"/>
    <w:rPr>
      <w:rFonts w:ascii="Arial" w:hAnsi="Arial" w:cs="Arial"/>
      <w:bCs/>
      <w:kern w:val="32"/>
      <w:szCs w:val="28"/>
    </w:rPr>
  </w:style>
  <w:style w:type="character" w:customStyle="1" w:styleId="Rubrik5Char">
    <w:name w:val="Rubrik 5 Char"/>
    <w:basedOn w:val="Standardstycketeckensnitt"/>
    <w:link w:val="Rubrik5"/>
    <w:uiPriority w:val="5"/>
    <w:rPr>
      <w:rFonts w:ascii="Arial" w:hAnsi="Arial" w:cs="Arial"/>
      <w:iCs/>
      <w:kern w:val="32"/>
      <w:szCs w:val="26"/>
    </w:rPr>
  </w:style>
  <w:style w:type="character" w:customStyle="1" w:styleId="RubrikChar">
    <w:name w:val="Rubrik Char"/>
    <w:basedOn w:val="Standardstycketeckensnitt"/>
    <w:link w:val="Rubrik"/>
    <w:uiPriority w:val="16"/>
    <w:rPr>
      <w:rFonts w:ascii="Arial" w:hAnsi="Arial" w:cs="Arial"/>
      <w:b/>
      <w:bCs/>
      <w:kern w:val="28"/>
      <w:sz w:val="32"/>
      <w:szCs w:val="32"/>
    </w:rPr>
  </w:style>
  <w:style w:type="paragraph" w:customStyle="1" w:styleId="ListaA0">
    <w:name w:val="Lista (A)"/>
    <w:basedOn w:val="Listaa1"/>
    <w:uiPriority w:val="6"/>
    <w:semiHidden/>
    <w:qFormat/>
    <w:pPr>
      <w:numPr>
        <w:numId w:val="17"/>
      </w:numPr>
      <w:tabs>
        <w:tab w:val="clear" w:pos="1985"/>
      </w:tabs>
    </w:pPr>
  </w:style>
  <w:style w:type="paragraph" w:customStyle="1" w:styleId="ListaA">
    <w:name w:val="Lista A"/>
    <w:basedOn w:val="ListaA0"/>
    <w:uiPriority w:val="6"/>
    <w:semiHidden/>
    <w:qFormat/>
    <w:pPr>
      <w:numPr>
        <w:numId w:val="16"/>
      </w:numPr>
      <w:tabs>
        <w:tab w:val="clear" w:pos="1985"/>
      </w:tabs>
    </w:pPr>
    <w:rPr>
      <w:noProof/>
      <w:lang w:val="en-GB" w:eastAsia="en-GB"/>
    </w:rPr>
  </w:style>
  <w:style w:type="paragraph" w:customStyle="1" w:styleId="Lista1">
    <w:name w:val="Lista (1)"/>
    <w:basedOn w:val="ListaA"/>
    <w:uiPriority w:val="11"/>
    <w:qFormat/>
    <w:pPr>
      <w:numPr>
        <w:ilvl w:val="2"/>
        <w:numId w:val="18"/>
      </w:numPr>
    </w:pPr>
  </w:style>
  <w:style w:type="character" w:customStyle="1" w:styleId="SidhuvudChar">
    <w:name w:val="Sidhuvud Char"/>
    <w:basedOn w:val="Standardstycketeckensnitt"/>
    <w:link w:val="Sidhuvud"/>
    <w:rPr>
      <w:sz w:val="24"/>
    </w:rPr>
  </w:style>
  <w:style w:type="paragraph" w:customStyle="1" w:styleId="Dokumentrubrik">
    <w:name w:val="Dokumentrubrik"/>
    <w:next w:val="Normal"/>
    <w:uiPriority w:val="14"/>
    <w:qFormat/>
    <w:pPr>
      <w:keepNext/>
      <w:spacing w:after="120" w:line="288" w:lineRule="auto"/>
    </w:pPr>
    <w:rPr>
      <w:rFonts w:ascii="Arial" w:hAnsi="Arial" w:cs="Arial"/>
      <w:b/>
      <w:bCs/>
      <w:kern w:val="32"/>
      <w:sz w:val="26"/>
      <w:szCs w:val="26"/>
    </w:rPr>
  </w:style>
  <w:style w:type="paragraph" w:customStyle="1" w:styleId="Frsttssidagemener">
    <w:name w:val="Försättssida gemener"/>
    <w:basedOn w:val="Normal"/>
    <w:uiPriority w:val="19"/>
    <w:pPr>
      <w:keepNext/>
      <w:jc w:val="center"/>
    </w:pPr>
    <w:rPr>
      <w:rFonts w:cs="Arial"/>
      <w:bCs/>
      <w:kern w:val="28"/>
      <w:szCs w:val="32"/>
    </w:rPr>
  </w:style>
  <w:style w:type="paragraph" w:customStyle="1" w:styleId="RubForstasida">
    <w:name w:val="RubForstasida"/>
    <w:basedOn w:val="Rubrik"/>
    <w:uiPriority w:val="19"/>
    <w:pPr>
      <w:jc w:val="center"/>
      <w:outlineLvl w:val="0"/>
    </w:pPr>
  </w:style>
  <w:style w:type="paragraph" w:customStyle="1" w:styleId="Normalingetavstndefter">
    <w:name w:val="Normal (inget avstånd efter)"/>
    <w:basedOn w:val="Normal"/>
    <w:qFormat/>
    <w:pPr>
      <w:keepNext/>
      <w:spacing w:after="0"/>
      <w:ind w:left="851"/>
    </w:pPr>
  </w:style>
  <w:style w:type="character" w:customStyle="1" w:styleId="apple-converted-space">
    <w:name w:val="apple-converted-space"/>
    <w:basedOn w:val="Standardstycketeckensnitt"/>
  </w:style>
  <w:style w:type="character" w:customStyle="1" w:styleId="pwi-document-highlight-term">
    <w:name w:val="pwi-document-highlight-term"/>
    <w:basedOn w:val="Standardstycketeckensnitt"/>
  </w:style>
  <w:style w:type="character" w:customStyle="1" w:styleId="FotnotstextChar">
    <w:name w:val="Fotnotstext Char"/>
    <w:basedOn w:val="Standardstycketeckensnitt"/>
    <w:link w:val="Fotnotstext"/>
    <w:uiPriority w:val="99"/>
    <w:locked/>
    <w:rPr>
      <w:sz w:val="18"/>
    </w:rPr>
  </w:style>
  <w:style w:type="paragraph" w:styleId="Revision">
    <w:name w:val="Revision"/>
    <w:hidden/>
    <w:uiPriority w:val="99"/>
    <w:semiHidden/>
    <w:rsid w:val="008974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4318">
      <w:bodyDiv w:val="1"/>
      <w:marLeft w:val="0"/>
      <w:marRight w:val="0"/>
      <w:marTop w:val="0"/>
      <w:marBottom w:val="0"/>
      <w:divBdr>
        <w:top w:val="none" w:sz="0" w:space="0" w:color="auto"/>
        <w:left w:val="none" w:sz="0" w:space="0" w:color="auto"/>
        <w:bottom w:val="none" w:sz="0" w:space="0" w:color="auto"/>
        <w:right w:val="none" w:sz="0" w:space="0" w:color="auto"/>
      </w:divBdr>
    </w:div>
    <w:div w:id="317030355">
      <w:bodyDiv w:val="1"/>
      <w:marLeft w:val="0"/>
      <w:marRight w:val="0"/>
      <w:marTop w:val="0"/>
      <w:marBottom w:val="0"/>
      <w:divBdr>
        <w:top w:val="none" w:sz="0" w:space="0" w:color="auto"/>
        <w:left w:val="none" w:sz="0" w:space="0" w:color="auto"/>
        <w:bottom w:val="none" w:sz="0" w:space="0" w:color="auto"/>
        <w:right w:val="none" w:sz="0" w:space="0" w:color="auto"/>
      </w:divBdr>
    </w:div>
    <w:div w:id="407848562">
      <w:bodyDiv w:val="1"/>
      <w:marLeft w:val="0"/>
      <w:marRight w:val="0"/>
      <w:marTop w:val="0"/>
      <w:marBottom w:val="0"/>
      <w:divBdr>
        <w:top w:val="none" w:sz="0" w:space="0" w:color="auto"/>
        <w:left w:val="none" w:sz="0" w:space="0" w:color="auto"/>
        <w:bottom w:val="none" w:sz="0" w:space="0" w:color="auto"/>
        <w:right w:val="none" w:sz="0" w:space="0" w:color="auto"/>
      </w:divBdr>
    </w:div>
    <w:div w:id="524177418">
      <w:bodyDiv w:val="1"/>
      <w:marLeft w:val="0"/>
      <w:marRight w:val="0"/>
      <w:marTop w:val="0"/>
      <w:marBottom w:val="0"/>
      <w:divBdr>
        <w:top w:val="none" w:sz="0" w:space="0" w:color="auto"/>
        <w:left w:val="none" w:sz="0" w:space="0" w:color="auto"/>
        <w:bottom w:val="none" w:sz="0" w:space="0" w:color="auto"/>
        <w:right w:val="none" w:sz="0" w:space="0" w:color="auto"/>
      </w:divBdr>
    </w:div>
    <w:div w:id="546530135">
      <w:bodyDiv w:val="1"/>
      <w:marLeft w:val="0"/>
      <w:marRight w:val="0"/>
      <w:marTop w:val="0"/>
      <w:marBottom w:val="0"/>
      <w:divBdr>
        <w:top w:val="none" w:sz="0" w:space="0" w:color="auto"/>
        <w:left w:val="none" w:sz="0" w:space="0" w:color="auto"/>
        <w:bottom w:val="none" w:sz="0" w:space="0" w:color="auto"/>
        <w:right w:val="none" w:sz="0" w:space="0" w:color="auto"/>
      </w:divBdr>
    </w:div>
    <w:div w:id="652564109">
      <w:bodyDiv w:val="1"/>
      <w:marLeft w:val="0"/>
      <w:marRight w:val="0"/>
      <w:marTop w:val="0"/>
      <w:marBottom w:val="0"/>
      <w:divBdr>
        <w:top w:val="none" w:sz="0" w:space="0" w:color="auto"/>
        <w:left w:val="none" w:sz="0" w:space="0" w:color="auto"/>
        <w:bottom w:val="none" w:sz="0" w:space="0" w:color="auto"/>
        <w:right w:val="none" w:sz="0" w:space="0" w:color="auto"/>
      </w:divBdr>
    </w:div>
    <w:div w:id="902718188">
      <w:bodyDiv w:val="1"/>
      <w:marLeft w:val="0"/>
      <w:marRight w:val="0"/>
      <w:marTop w:val="0"/>
      <w:marBottom w:val="0"/>
      <w:divBdr>
        <w:top w:val="none" w:sz="0" w:space="0" w:color="auto"/>
        <w:left w:val="none" w:sz="0" w:space="0" w:color="auto"/>
        <w:bottom w:val="none" w:sz="0" w:space="0" w:color="auto"/>
        <w:right w:val="none" w:sz="0" w:space="0" w:color="auto"/>
      </w:divBdr>
    </w:div>
    <w:div w:id="1451514706">
      <w:bodyDiv w:val="1"/>
      <w:marLeft w:val="0"/>
      <w:marRight w:val="0"/>
      <w:marTop w:val="0"/>
      <w:marBottom w:val="0"/>
      <w:divBdr>
        <w:top w:val="none" w:sz="0" w:space="0" w:color="auto"/>
        <w:left w:val="none" w:sz="0" w:space="0" w:color="auto"/>
        <w:bottom w:val="none" w:sz="0" w:space="0" w:color="auto"/>
        <w:right w:val="none" w:sz="0" w:space="0" w:color="auto"/>
      </w:divBdr>
    </w:div>
    <w:div w:id="1568297270">
      <w:bodyDiv w:val="1"/>
      <w:marLeft w:val="0"/>
      <w:marRight w:val="0"/>
      <w:marTop w:val="0"/>
      <w:marBottom w:val="0"/>
      <w:divBdr>
        <w:top w:val="none" w:sz="0" w:space="0" w:color="auto"/>
        <w:left w:val="none" w:sz="0" w:space="0" w:color="auto"/>
        <w:bottom w:val="none" w:sz="0" w:space="0" w:color="auto"/>
        <w:right w:val="none" w:sz="0" w:space="0" w:color="auto"/>
      </w:divBdr>
    </w:div>
    <w:div w:id="1899171920">
      <w:bodyDiv w:val="1"/>
      <w:marLeft w:val="0"/>
      <w:marRight w:val="0"/>
      <w:marTop w:val="0"/>
      <w:marBottom w:val="0"/>
      <w:divBdr>
        <w:top w:val="none" w:sz="0" w:space="0" w:color="auto"/>
        <w:left w:val="none" w:sz="0" w:space="0" w:color="auto"/>
        <w:bottom w:val="none" w:sz="0" w:space="0" w:color="auto"/>
        <w:right w:val="none" w:sz="0" w:space="0" w:color="auto"/>
      </w:divBdr>
    </w:div>
    <w:div w:id="20760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GDA">
  <a:themeElements>
    <a:clrScheme name="GDA">
      <a:dk1>
        <a:srgbClr val="666666"/>
      </a:dk1>
      <a:lt1>
        <a:srgbClr val="FFFFFF"/>
      </a:lt1>
      <a:dk2>
        <a:srgbClr val="015291"/>
      </a:dk2>
      <a:lt2>
        <a:srgbClr val="7391B4"/>
      </a:lt2>
      <a:accent1>
        <a:srgbClr val="015291"/>
      </a:accent1>
      <a:accent2>
        <a:srgbClr val="000000"/>
      </a:accent2>
      <a:accent3>
        <a:srgbClr val="7391B4"/>
      </a:accent3>
      <a:accent4>
        <a:srgbClr val="8ACF00"/>
      </a:accent4>
      <a:accent5>
        <a:srgbClr val="C42100"/>
      </a:accent5>
      <a:accent6>
        <a:srgbClr val="CCCCCC"/>
      </a:accent6>
      <a:hlink>
        <a:srgbClr val="6E8CB4"/>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5AAB-C5DC-40F4-BD81-27724ECE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4810</Words>
  <Characters>31061</Characters>
  <Application>Microsoft Office Word</Application>
  <DocSecurity>0</DocSecurity>
  <PresentationFormat/>
  <Lines>258</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2017-10-16T08:44:00Z</dcterms:created>
  <dcterms:modified xsi:type="dcterms:W3CDTF">2017-10-16T08:45:00Z</dcterms:modified>
  <cp:category/>
  <cp:contentStatus/>
  <dc:language/>
  <cp:version/>
</cp:coreProperties>
</file>